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Oggetto: Determina di affidamento del servizio </w:t>
      </w:r>
      <w:r>
        <w:rPr>
          <w:rFonts w:ascii="Arial" w:hAnsi="Arial" w:cs="Arial"/>
          <w:b/>
          <w:bCs/>
          <w:sz w:val="24"/>
          <w:szCs w:val="24"/>
        </w:rPr>
        <w:t xml:space="preserve">di </w:t>
      </w:r>
      <w:r>
        <w:rPr>
          <w:rFonts w:ascii="Arial" w:hAnsi="Arial" w:cs="Arial"/>
          <w:b/>
          <w:bCs/>
          <w:sz w:val="24"/>
          <w:szCs w:val="24"/>
        </w:rPr>
        <w:t xml:space="preserve">adesione a </w:t>
      </w:r>
      <w:r>
        <w:rPr>
          <w:rFonts w:ascii="Arial" w:hAnsi="Arial" w:cs="Arial"/>
          <w:b/>
          <w:bCs/>
          <w:sz w:val="24"/>
          <w:szCs w:val="24"/>
        </w:rPr>
        <w:t xml:space="preserve">SPID e CIE</w:t>
      </w:r>
      <w:r>
        <w:rPr>
          <w:rFonts w:ascii="Arial" w:hAnsi="Arial" w:cs="Arial"/>
          <w:b/>
          <w:bCs/>
          <w:sz w:val="24"/>
          <w:szCs w:val="24"/>
        </w:rPr>
        <w:t xml:space="preserve"> – Avviso Misura 1.4.4</w:t>
      </w:r>
      <w:r/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IL RESPONSABILE DEL SERVIZIO</w:t>
      </w:r>
      <w:r/>
    </w:p>
    <w:p>
      <w:p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Visti</w:t>
      </w:r>
      <w:r/>
    </w:p>
    <w:p>
      <w:pPr>
        <w:numPr>
          <w:ilvl w:val="0"/>
          <w:numId w:val="2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il decreto legislativo 18 agosto 2000, n. 267 (</w:t>
      </w:r>
      <w:r>
        <w:rPr>
          <w:rFonts w:ascii="Arial" w:hAnsi="Arial" w:cs="Arial"/>
          <w:bCs/>
          <w:i/>
          <w:iCs/>
        </w:rPr>
        <w:t xml:space="preserve">Testo unico delle leggi sull</w:t>
      </w:r>
      <w:r>
        <w:rPr>
          <w:rFonts w:ascii="Arial" w:hAnsi="Arial" w:cs="Arial"/>
          <w:bCs/>
          <w:i/>
          <w:iCs/>
        </w:rPr>
        <w:t xml:space="preserve">’</w:t>
      </w:r>
      <w:r>
        <w:rPr>
          <w:rFonts w:ascii="Arial" w:hAnsi="Arial" w:cs="Arial"/>
          <w:bCs/>
          <w:i/>
          <w:iCs/>
        </w:rPr>
        <w:t xml:space="preserve">ordinamento degli enti locali</w:t>
      </w:r>
      <w:r>
        <w:rPr>
          <w:rFonts w:ascii="Arial" w:hAnsi="Arial" w:cs="Arial"/>
          <w:bCs/>
        </w:rPr>
        <w:t xml:space="preserve">) e il decreto legislativo 23 giugno 2011, n. 118 (</w:t>
      </w:r>
      <w:r>
        <w:rPr>
          <w:rFonts w:ascii="Arial" w:hAnsi="Arial" w:cs="Arial"/>
          <w:bCs/>
          <w:i/>
          <w:iCs/>
        </w:rPr>
        <w:t xml:space="preserve">Disposizioni in materia di armonizzazione dei sistemi contabili e degli schemi di bilancio delle Regioni, degli enti locali e dei loro organismi, a norma degli articoli 1 e 2 della legge 5 maggio 2009, n. 42</w:t>
      </w:r>
      <w:r>
        <w:rPr>
          <w:rFonts w:ascii="Arial" w:hAnsi="Arial" w:cs="Arial"/>
          <w:bCs/>
        </w:rPr>
        <w:t xml:space="preserve">);</w:t>
      </w:r>
      <w:r/>
    </w:p>
    <w:p>
      <w:pPr>
        <w:numPr>
          <w:ilvl w:val="0"/>
          <w:numId w:val="2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il decreto legislativo 18 aprile 2016, n. 50 (</w:t>
      </w:r>
      <w:r>
        <w:rPr>
          <w:rFonts w:ascii="Arial" w:hAnsi="Arial" w:cs="Arial"/>
          <w:bCs/>
          <w:i/>
          <w:iCs/>
        </w:rPr>
        <w:t xml:space="preserve">Codice dei contratti pubblici</w:t>
      </w:r>
      <w:r>
        <w:rPr>
          <w:rFonts w:ascii="Arial" w:hAnsi="Arial" w:cs="Arial"/>
          <w:bCs/>
        </w:rPr>
        <w:t xml:space="preserve">);</w:t>
      </w:r>
      <w:r/>
    </w:p>
    <w:p>
      <w:pPr>
        <w:numPr>
          <w:ilvl w:val="0"/>
          <w:numId w:val="2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il decreto legislativo 7 marzo 2005, n. 82 (</w:t>
      </w:r>
      <w:r>
        <w:rPr>
          <w:rFonts w:ascii="Arial" w:hAnsi="Arial" w:cs="Arial"/>
          <w:bCs/>
          <w:i/>
          <w:iCs/>
        </w:rPr>
        <w:t xml:space="preserve">Codice dell</w:t>
      </w:r>
      <w:r>
        <w:rPr>
          <w:rFonts w:ascii="Arial" w:hAnsi="Arial" w:cs="Arial"/>
          <w:bCs/>
          <w:i/>
          <w:iCs/>
        </w:rPr>
        <w:t xml:space="preserve">’</w:t>
      </w:r>
      <w:r>
        <w:rPr>
          <w:rFonts w:ascii="Arial" w:hAnsi="Arial" w:cs="Arial"/>
          <w:bCs/>
          <w:i/>
          <w:iCs/>
        </w:rPr>
        <w:t xml:space="preserve">amministrazione digitale</w:t>
      </w:r>
      <w:r>
        <w:rPr>
          <w:rFonts w:ascii="Arial" w:hAnsi="Arial" w:cs="Arial"/>
          <w:bCs/>
        </w:rPr>
        <w:t xml:space="preserve">);</w:t>
      </w:r>
      <w:r/>
    </w:p>
    <w:p>
      <w:pPr>
        <w:numPr>
          <w:ilvl w:val="0"/>
          <w:numId w:val="2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il regolamento 12 febbraio 2021, n. 2021/241/UE (</w:t>
      </w:r>
      <w:r>
        <w:rPr>
          <w:rFonts w:ascii="Arial" w:hAnsi="Arial" w:cs="Arial"/>
          <w:bCs/>
          <w:i/>
          <w:iCs/>
        </w:rPr>
        <w:t xml:space="preserve">Regolamento del Parlamento europeo e del Consiglio che istituisce il dispositivo per la ripresa e la resilienza</w:t>
      </w:r>
      <w:r>
        <w:rPr>
          <w:rFonts w:ascii="Arial" w:hAnsi="Arial" w:cs="Arial"/>
          <w:bCs/>
        </w:rPr>
        <w:t xml:space="preserve">);</w:t>
      </w:r>
      <w:r/>
    </w:p>
    <w:p>
      <w:pPr>
        <w:numPr>
          <w:ilvl w:val="0"/>
          <w:numId w:val="2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la legge 23 dicembre 1999, n. 488 (</w:t>
      </w:r>
      <w:r>
        <w:rPr>
          <w:rFonts w:ascii="Arial" w:hAnsi="Arial" w:cs="Arial"/>
          <w:bCs/>
          <w:i/>
          <w:iCs/>
        </w:rPr>
        <w:t xml:space="preserve">Legge finanziaria 2000</w:t>
      </w:r>
      <w:r>
        <w:rPr>
          <w:rFonts w:ascii="Arial" w:hAnsi="Arial" w:cs="Arial"/>
          <w:bCs/>
        </w:rPr>
        <w:t xml:space="preserve">) e la legge 27 dicembre 2006, n. 296 (</w:t>
      </w:r>
      <w:r>
        <w:rPr>
          <w:rFonts w:ascii="Arial" w:hAnsi="Arial" w:cs="Arial"/>
          <w:bCs/>
          <w:i/>
          <w:iCs/>
        </w:rPr>
        <w:t xml:space="preserve">Legge finanziaria 2007</w:t>
      </w:r>
      <w:r>
        <w:rPr>
          <w:rFonts w:ascii="Arial" w:hAnsi="Arial" w:cs="Arial"/>
          <w:bCs/>
        </w:rPr>
        <w:t xml:space="preserve">);</w:t>
      </w:r>
      <w:r/>
    </w:p>
    <w:p>
      <w:pPr>
        <w:numPr>
          <w:ilvl w:val="0"/>
          <w:numId w:val="2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legge 13 agosto 2010, n. 136 (</w:t>
      </w:r>
      <w:r>
        <w:rPr>
          <w:rFonts w:ascii="Arial" w:hAnsi="Arial" w:cs="Arial"/>
          <w:bCs/>
          <w:i/>
          <w:iCs/>
        </w:rPr>
        <w:t xml:space="preserve">Piano straordinario contro le mafie, nonché delega al Governo in materia di normativa antimafia</w:t>
      </w:r>
      <w:r>
        <w:rPr>
          <w:rFonts w:ascii="Arial" w:hAnsi="Arial" w:cs="Arial"/>
          <w:bCs/>
        </w:rPr>
        <w:t xml:space="preserve">);</w:t>
      </w:r>
      <w:r/>
    </w:p>
    <w:p>
      <w:pPr>
        <w:numPr>
          <w:ilvl w:val="0"/>
          <w:numId w:val="2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il decreto-legge 16 luglio 2020, n. 76 (</w:t>
      </w:r>
      <w:r>
        <w:rPr>
          <w:rFonts w:ascii="Arial" w:hAnsi="Arial" w:cs="Arial"/>
          <w:bCs/>
          <w:i/>
          <w:iCs/>
        </w:rPr>
        <w:t xml:space="preserve">Misure urgenti per la semplificazione e l</w:t>
      </w:r>
      <w:r>
        <w:rPr>
          <w:rFonts w:ascii="Arial" w:hAnsi="Arial" w:cs="Arial"/>
          <w:bCs/>
          <w:i/>
          <w:iCs/>
        </w:rPr>
        <w:t xml:space="preserve">’</w:t>
      </w:r>
      <w:r>
        <w:rPr>
          <w:rFonts w:ascii="Arial" w:hAnsi="Arial" w:cs="Arial"/>
          <w:bCs/>
          <w:i/>
          <w:iCs/>
        </w:rPr>
        <w:t xml:space="preserve">innovazione digitale</w:t>
      </w:r>
      <w:r>
        <w:rPr>
          <w:rFonts w:ascii="Arial" w:hAnsi="Arial" w:cs="Arial"/>
          <w:bCs/>
        </w:rPr>
        <w:t xml:space="preserve">) convertito in legge, con modificazioni, dalla legge 11 settembre 2020, n. 120;</w:t>
      </w:r>
      <w:r/>
    </w:p>
    <w:p>
      <w:p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Visti:</w:t>
      </w:r>
      <w:r/>
    </w:p>
    <w:p>
      <w:pPr>
        <w:numPr>
          <w:ilvl w:val="0"/>
          <w:numId w:val="1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il decreto n. __ del ______________ con il quale il Sindaco ha attribuito al sottoscritto le funzioni di cui agli articoli 107 e 109 del d.lgs. 267/2000 sino al termine del mandato;</w:t>
      </w:r>
      <w:r/>
    </w:p>
    <w:p>
      <w:pPr>
        <w:numPr>
          <w:ilvl w:val="0"/>
          <w:numId w:val="1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il Documento unico di programmazione (DUP) 2022-2024, approvato con deliberazione del Consiglio comunale n. __ del ______________ e la relativa nota di aggiornamento approvata con deliberazione del Consiglio comunale n. __ del ______________;</w:t>
      </w:r>
      <w:r/>
    </w:p>
    <w:p>
      <w:pPr>
        <w:numPr>
          <w:ilvl w:val="0"/>
          <w:numId w:val="1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il Bilancio di previsione 2022-2024, approvato con deliberazione del Consiglio comunale n. __ del ______________;</w:t>
      </w:r>
      <w:r/>
    </w:p>
    <w:p>
      <w:pPr>
        <w:numPr>
          <w:ilvl w:val="0"/>
          <w:numId w:val="1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il Piano esecutivo di gestione (PEG) 2022-2024, approvato con deliberazione della Giunta comunale n. __ del ______________;</w:t>
      </w:r>
      <w:r/>
    </w:p>
    <w:p>
      <w:p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Premesso</w:t>
      </w:r>
      <w:r>
        <w:rPr>
          <w:rFonts w:ascii="Arial" w:hAnsi="Arial" w:cs="Arial"/>
          <w:bCs/>
        </w:rPr>
        <w:t xml:space="preserve"> che</w:t>
      </w:r>
      <w:r>
        <w:rPr>
          <w:rFonts w:ascii="Arial" w:hAnsi="Arial" w:cs="Arial"/>
          <w:bCs/>
        </w:rPr>
        <w:t xml:space="preserve">:</w:t>
      </w:r>
      <w:r/>
    </w:p>
    <w:p>
      <w:pPr>
        <w:pStyle w:val="705"/>
        <w:numPr>
          <w:ilvl w:val="0"/>
          <w:numId w:val="13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il Sistema Pubblico di Identità Digitale (SPID) è la chiave di accesso semplice, veloce e sicura ai servizi digitali delle amministrazioni locali e centrali</w:t>
      </w:r>
      <w:r>
        <w:rPr>
          <w:rFonts w:ascii="Arial" w:hAnsi="Arial" w:cs="Arial"/>
          <w:bCs/>
        </w:rPr>
        <w:t xml:space="preserve">;</w:t>
      </w:r>
      <w:r/>
    </w:p>
    <w:p>
      <w:pPr>
        <w:pStyle w:val="705"/>
        <w:numPr>
          <w:ilvl w:val="0"/>
          <w:numId w:val="13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 lo SPI</w:t>
      </w:r>
      <w:r>
        <w:rPr>
          <w:rFonts w:ascii="Arial" w:hAnsi="Arial" w:cs="Arial"/>
          <w:bCs/>
        </w:rPr>
        <w:t xml:space="preserve">D si utilizza un’unica credenziale (username e password) che rappresenta l’identità digitale e personale di ogni cittadino, con cui lo stesso è riconosciuto dalla Pubblica Amministrazione per utilizzare in maniera personalizzata e sicura i servizi digitali</w:t>
      </w:r>
      <w:r>
        <w:rPr>
          <w:rFonts w:ascii="Arial" w:hAnsi="Arial" w:cs="Arial"/>
          <w:bCs/>
        </w:rPr>
        <w:t xml:space="preserve">;</w:t>
      </w:r>
      <w:r/>
    </w:p>
    <w:p>
      <w:pPr>
        <w:pStyle w:val="705"/>
        <w:numPr>
          <w:ilvl w:val="0"/>
          <w:numId w:val="13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la Carta di Identità Elettronica (CIE) è il documento d’identità dei cittadini italiani che consente l’accesso ai servizi online delle Pubbliche Amministrazioni abilitate;</w:t>
      </w:r>
      <w:r/>
    </w:p>
    <w:p>
      <w:pPr>
        <w:pStyle w:val="705"/>
        <w:numPr>
          <w:ilvl w:val="0"/>
          <w:numId w:val="13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grazie all’uso sempre più diffuso dell’identità digitale, molte Pubbliche Amministrazioni hanno integrato il sistema di identificazione “Entra con CIE” all’interno dei loro servizi online consentendo agli utenti un accesso veloce e in sicurezza;</w:t>
      </w:r>
      <w:r/>
    </w:p>
    <w:p>
      <w:p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Preso atto che:</w:t>
      </w:r>
      <w:r/>
    </w:p>
    <w:p>
      <w:pPr>
        <w:pStyle w:val="705"/>
        <w:numPr>
          <w:ilvl w:val="0"/>
          <w:numId w:val="14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il </w:t>
      </w:r>
      <w:r>
        <w:rPr>
          <w:rFonts w:ascii="Arial" w:hAnsi="Arial" w:cs="Arial"/>
          <w:bCs/>
        </w:rPr>
        <w:t xml:space="preserve">Ministero per l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innovazione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tecnologica e la transizione digitale (MITD) </w:t>
      </w:r>
      <w:r>
        <w:rPr>
          <w:rFonts w:ascii="Arial" w:hAnsi="Arial" w:cs="Arial"/>
          <w:bCs/>
        </w:rPr>
        <w:t xml:space="preserve">ha </w:t>
      </w:r>
      <w:r>
        <w:rPr>
          <w:rFonts w:ascii="Arial" w:hAnsi="Arial" w:cs="Arial"/>
          <w:bCs/>
        </w:rPr>
        <w:t xml:space="preserve">invitato i Comuni italiani a presentare </w:t>
      </w:r>
      <w:r>
        <w:rPr>
          <w:rFonts w:ascii="Arial" w:hAnsi="Arial" w:cs="Arial"/>
          <w:bCs/>
        </w:rPr>
        <w:t xml:space="preserve">domanda di partecipazione all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avviso pubblico del Piano nazionale di ripresa e resilienza – Missione 1 – Componente 1 – Investimento 1.4 “Servizi e cittadinanza digitale” – Misura 1.4.</w:t>
      </w:r>
      <w:r>
        <w:rPr>
          <w:rFonts w:ascii="Arial" w:hAnsi="Arial" w:cs="Arial"/>
          <w:bCs/>
        </w:rPr>
        <w:t xml:space="preserve">4</w:t>
      </w:r>
      <w:r>
        <w:rPr>
          <w:rFonts w:ascii="Arial" w:hAnsi="Arial" w:cs="Arial"/>
          <w:bCs/>
        </w:rPr>
        <w:t xml:space="preserve"> “</w:t>
      </w:r>
      <w:r>
        <w:rPr>
          <w:rFonts w:ascii="Arial" w:hAnsi="Arial" w:cs="Arial"/>
          <w:bCs/>
        </w:rPr>
        <w:t xml:space="preserve">Estensione dell’utilizzo delle piattaforme nazionali di identità digitale (SPI CIE) e </w:t>
      </w:r>
      <w:r>
        <w:rPr>
          <w:rFonts w:ascii="Arial" w:hAnsi="Arial" w:cs="Arial"/>
          <w:bCs/>
        </w:rPr>
        <w:t xml:space="preserve">delll’anagrafe</w:t>
      </w:r>
      <w:r>
        <w:rPr>
          <w:rFonts w:ascii="Arial" w:hAnsi="Arial" w:cs="Arial"/>
          <w:bCs/>
        </w:rPr>
        <w:t xml:space="preserve"> nazionale digitale (ANPR)</w:t>
      </w:r>
      <w:r>
        <w:rPr>
          <w:rFonts w:ascii="Arial" w:hAnsi="Arial" w:cs="Arial"/>
          <w:bCs/>
        </w:rPr>
        <w:t xml:space="preserve">” Comuni finanziato dall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Unione Europea – </w:t>
      </w:r>
      <w:r>
        <w:rPr>
          <w:rFonts w:ascii="Arial" w:hAnsi="Arial" w:cs="Arial"/>
          <w:bCs/>
        </w:rPr>
        <w:t xml:space="preserve">NextGenerationEU</w:t>
      </w:r>
      <w:r>
        <w:rPr>
          <w:rFonts w:ascii="Arial" w:hAnsi="Arial" w:cs="Arial"/>
          <w:bCs/>
        </w:rPr>
        <w:t xml:space="preserve">;</w:t>
      </w:r>
      <w:r/>
    </w:p>
    <w:p>
      <w:pPr>
        <w:pStyle w:val="705"/>
        <w:numPr>
          <w:ilvl w:val="0"/>
          <w:numId w:val="14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obiettivo </w:t>
      </w:r>
      <w:r>
        <w:rPr>
          <w:rFonts w:ascii="Arial" w:hAnsi="Arial" w:cs="Arial"/>
          <w:bCs/>
        </w:rPr>
        <w:t xml:space="preserve">previst</w:t>
      </w:r>
      <w:r>
        <w:rPr>
          <w:rFonts w:ascii="Arial" w:hAnsi="Arial" w:cs="Arial"/>
          <w:bCs/>
        </w:rPr>
        <w:t xml:space="preserve">o </w:t>
      </w:r>
      <w:r>
        <w:rPr>
          <w:rFonts w:ascii="Arial" w:hAnsi="Arial" w:cs="Arial"/>
          <w:bCs/>
        </w:rPr>
        <w:t xml:space="preserve">per la Mi</w:t>
      </w:r>
      <w:r>
        <w:rPr>
          <w:rFonts w:ascii="Arial" w:hAnsi="Arial" w:cs="Arial"/>
          <w:bCs/>
        </w:rPr>
        <w:t xml:space="preserve">sura 1.4.3 (milestone e target europei) è quello di </w:t>
      </w:r>
      <w:r>
        <w:rPr>
          <w:rFonts w:ascii="Arial" w:hAnsi="Arial" w:cs="Arial"/>
          <w:bCs/>
        </w:rPr>
        <w:t xml:space="preserve">raggiungere un numero di cittadini italiani con identità digitali valide sulla piattaforma nazionale di identità digitale: pari a 42.300.000 entro dicembre 2025</w:t>
      </w:r>
      <w:r>
        <w:rPr>
          <w:rFonts w:ascii="Arial" w:hAnsi="Arial" w:cs="Arial"/>
          <w:bCs/>
        </w:rPr>
        <w:t xml:space="preserve">;</w:t>
      </w:r>
      <w:r/>
    </w:p>
    <w:p>
      <w:p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Ricordato</w:t>
      </w:r>
      <w:r>
        <w:rPr>
          <w:rFonts w:ascii="Arial" w:hAnsi="Arial" w:cs="Arial"/>
          <w:bCs/>
        </w:rPr>
        <w:t xml:space="preserve"> che l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avviso ministeriale prevede:</w:t>
      </w:r>
      <w:r/>
    </w:p>
    <w:p>
      <w:pPr>
        <w:pStyle w:val="705"/>
        <w:numPr>
          <w:ilvl w:val="0"/>
          <w:numId w:val="10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il riconoscimento ai Comuni di un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importo forfettario (</w:t>
      </w:r>
      <w:r>
        <w:rPr>
          <w:rFonts w:ascii="Arial" w:hAnsi="Arial" w:cs="Arial"/>
          <w:bCs/>
          <w:i/>
          <w:iCs/>
        </w:rPr>
        <w:t xml:space="preserve">lump</w:t>
      </w:r>
      <w:r>
        <w:rPr>
          <w:rFonts w:ascii="Arial" w:hAnsi="Arial" w:cs="Arial"/>
          <w:bCs/>
          <w:i/>
          <w:iCs/>
        </w:rPr>
        <w:t xml:space="preserve"> sum</w:t>
      </w:r>
      <w:r>
        <w:rPr>
          <w:rFonts w:ascii="Arial" w:hAnsi="Arial" w:cs="Arial"/>
          <w:bCs/>
        </w:rPr>
        <w:t xml:space="preserve">) determinato </w:t>
      </w:r>
      <w:r>
        <w:rPr>
          <w:rFonts w:ascii="Arial" w:hAnsi="Arial" w:cs="Arial"/>
          <w:bCs/>
        </w:rPr>
        <w:t xml:space="preserve">in € 14.000,00</w:t>
      </w:r>
      <w:r/>
    </w:p>
    <w:p>
      <w:pPr>
        <w:pStyle w:val="705"/>
        <w:numPr>
          <w:ilvl w:val="0"/>
          <w:numId w:val="10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erogazione </w:t>
      </w:r>
      <w:r>
        <w:rPr>
          <w:rFonts w:ascii="Arial" w:hAnsi="Arial" w:cs="Arial"/>
          <w:bCs/>
        </w:rPr>
        <w:t xml:space="preserve">del contributo forfettario </w:t>
      </w:r>
      <w:r>
        <w:rPr>
          <w:rFonts w:ascii="Arial" w:hAnsi="Arial" w:cs="Arial"/>
          <w:bCs/>
        </w:rPr>
        <w:t xml:space="preserve">in un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unica soluzione a seguito del</w:t>
      </w:r>
      <w:r>
        <w:rPr>
          <w:rFonts w:ascii="Arial" w:hAnsi="Arial" w:cs="Arial"/>
          <w:bCs/>
        </w:rPr>
        <w:t xml:space="preserve">la piena adozione delle piattaforme di identità digitale attraverso il raggiungimento dei seguenti obiettivi:</w:t>
      </w:r>
      <w:r/>
    </w:p>
    <w:p>
      <w:pPr>
        <w:pStyle w:val="705"/>
        <w:numPr>
          <w:ilvl w:val="1"/>
          <w:numId w:val="10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Adesione alla piattaforma di identità digitale SPID</w:t>
      </w:r>
      <w:r/>
    </w:p>
    <w:p>
      <w:pPr>
        <w:pStyle w:val="705"/>
        <w:numPr>
          <w:ilvl w:val="1"/>
          <w:numId w:val="10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Adesione alla piattaforma di identità digitale CIE</w:t>
      </w:r>
      <w:r/>
    </w:p>
    <w:p>
      <w:pPr>
        <w:pStyle w:val="705"/>
        <w:numPr>
          <w:ilvl w:val="1"/>
          <w:numId w:val="10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Erogazione di un piano formativo su disposizioni normative, linee guida e best practices in caso di integrazione a SPID e CIE con protocollo SAML2</w:t>
      </w:r>
      <w:r/>
    </w:p>
    <w:p>
      <w:pPr>
        <w:pStyle w:val="705"/>
        <w:numPr>
          <w:ilvl w:val="0"/>
          <w:numId w:val="10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che l</w:t>
      </w:r>
      <w:r>
        <w:rPr>
          <w:rFonts w:ascii="Arial" w:hAnsi="Arial" w:cs="Arial"/>
          <w:bCs/>
        </w:rPr>
        <w:t xml:space="preserve">e</w:t>
      </w:r>
      <w:r>
        <w:rPr>
          <w:rFonts w:ascii="Arial" w:hAnsi="Arial" w:cs="Arial"/>
          <w:bCs/>
        </w:rPr>
        <w:t xml:space="preserve"> attività di cui al finanziamento richiesto siano state avviate a decorrere dal 1° </w:t>
      </w:r>
      <w:r>
        <w:rPr>
          <w:rFonts w:ascii="Arial" w:hAnsi="Arial" w:cs="Arial"/>
          <w:bCs/>
        </w:rPr>
        <w:t xml:space="preserve">febbraio </w:t>
      </w:r>
      <w:r>
        <w:rPr>
          <w:rFonts w:ascii="Arial" w:hAnsi="Arial" w:cs="Arial"/>
          <w:bCs/>
        </w:rPr>
        <w:t xml:space="preserve">202</w:t>
      </w:r>
      <w:r>
        <w:rPr>
          <w:rFonts w:ascii="Arial" w:hAnsi="Arial" w:cs="Arial"/>
          <w:bCs/>
        </w:rPr>
        <w:t xml:space="preserve">0 </w:t>
      </w:r>
      <w:r>
        <w:rPr>
          <w:rFonts w:ascii="Arial" w:hAnsi="Arial" w:cs="Arial"/>
          <w:bCs/>
        </w:rPr>
        <w:t xml:space="preserve">con risorse proprie</w:t>
      </w:r>
      <w:r>
        <w:rPr>
          <w:rFonts w:ascii="Arial" w:hAnsi="Arial" w:cs="Arial"/>
          <w:bCs/>
        </w:rPr>
        <w:t xml:space="preserve">;</w:t>
      </w:r>
      <w:r/>
    </w:p>
    <w:p>
      <w:p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Considerato </w:t>
      </w:r>
      <w:r>
        <w:rPr>
          <w:rFonts w:ascii="Arial" w:hAnsi="Arial" w:cs="Arial"/>
          <w:bCs/>
        </w:rPr>
        <w:t xml:space="preserve">che il Comune di _____________________ ha presentato domanda in data _____________ e risulta </w:t>
      </w:r>
      <w:r>
        <w:rPr>
          <w:rFonts w:ascii="Arial" w:hAnsi="Arial" w:cs="Arial"/>
          <w:bCs/>
        </w:rPr>
        <w:t xml:space="preserve">finanziato per € ____________________ con CUP ________________________</w:t>
      </w:r>
      <w:r>
        <w:rPr>
          <w:rFonts w:ascii="Arial" w:hAnsi="Arial" w:cs="Arial"/>
          <w:bCs/>
        </w:rPr>
        <w:t xml:space="preserve">, giusto decreto di finanziamento n. ___ del _________________</w:t>
      </w:r>
      <w:r>
        <w:rPr>
          <w:rFonts w:ascii="Arial" w:hAnsi="Arial" w:cs="Arial"/>
          <w:bCs/>
        </w:rPr>
        <w:t xml:space="preserve">;</w:t>
      </w:r>
      <w:r/>
    </w:p>
    <w:p>
      <w:p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Considerato che</w:t>
      </w:r>
      <w:r>
        <w:rPr>
          <w:rFonts w:ascii="Arial" w:hAnsi="Arial" w:cs="Arial"/>
          <w:bCs/>
        </w:rPr>
        <w:t xml:space="preserve"> le attività per il raggiungimento degli obiettivi del bando possono essere svolte dal Comune tramite il supporto di un Partner/Intermediario Tecnologico (se già contrattualizzato), o attraverso l’individuazione di un Partner/intermediario Tecnologico per </w:t>
      </w:r>
      <w:r>
        <w:rPr>
          <w:rFonts w:ascii="Arial" w:hAnsi="Arial" w:cs="Arial"/>
          <w:bCs/>
        </w:rPr>
        <w:t xml:space="preserve">la piena adozione delle piattaforme di identità digitale;</w:t>
      </w:r>
      <w:r/>
    </w:p>
    <w:p>
      <w:p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Tenuto conto che l’ente deve contrattualizzare con il fornitore entro </w:t>
      </w:r>
      <w:r>
        <w:rPr>
          <w:rFonts w:ascii="Arial" w:hAnsi="Arial" w:cs="Arial"/>
          <w:bCs/>
        </w:rPr>
        <w:t xml:space="preserve">12 mesi </w:t>
      </w:r>
      <w:r>
        <w:rPr>
          <w:rFonts w:ascii="Arial" w:hAnsi="Arial" w:cs="Arial"/>
          <w:bCs/>
        </w:rPr>
        <w:t xml:space="preserve">dalla data di notifica del decreto di finanziamento;</w:t>
      </w:r>
      <w:r/>
    </w:p>
    <w:p>
      <w:p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Visto il preventivo della società Halley SUD S.r.l., giusto protocollo n. __</w:t>
      </w:r>
      <w:r>
        <w:rPr>
          <w:rFonts w:ascii="Arial" w:hAnsi="Arial" w:cs="Arial"/>
          <w:bCs/>
        </w:rPr>
        <w:t xml:space="preserve">__</w:t>
      </w:r>
      <w:r>
        <w:rPr>
          <w:rFonts w:ascii="Arial" w:hAnsi="Arial" w:cs="Arial"/>
          <w:bCs/>
        </w:rPr>
        <w:t xml:space="preserve"> del _______________, per </w:t>
      </w:r>
      <w:r>
        <w:rPr>
          <w:rFonts w:ascii="Arial" w:hAnsi="Arial" w:cs="Arial"/>
          <w:bCs/>
        </w:rPr>
        <w:t xml:space="preserve">il servizio di adesione a SPID e CIE</w:t>
      </w:r>
      <w:r>
        <w:rPr>
          <w:rFonts w:ascii="Arial" w:hAnsi="Arial" w:cs="Arial"/>
          <w:bCs/>
        </w:rPr>
        <w:t xml:space="preserve">;</w:t>
      </w:r>
      <w:r/>
    </w:p>
    <w:p>
      <w:p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Verificato, ai fini e per gli effetti dell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articolo 26 della l. 488/1999 e dell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articolo 1, comma 449 della l. 296/2006 che non risultano convenzioni attive stipulate da CONSIP o da centrali regionali di committenza per i beni/servizi in oggetto;</w:t>
      </w:r>
      <w:r/>
    </w:p>
    <w:p>
      <w:p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Dato atto che il bene da acquisire:</w:t>
      </w:r>
      <w:r/>
    </w:p>
    <w:p>
      <w:pPr>
        <w:numPr>
          <w:ilvl w:val="0"/>
          <w:numId w:val="3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è di importo inferiore a 5.000,00 euro e pertanto non è obbligatorio il ricorso al MEPA, ai sensi dell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articolo 1, comma 450 della l. 296/2006;</w:t>
      </w:r>
      <w:r/>
    </w:p>
    <w:p>
      <w:pPr>
        <w:numPr>
          <w:ilvl w:val="0"/>
          <w:numId w:val="3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non è negoziabile sul MEPA, non essendo disponibili bandi attivi;</w:t>
      </w:r>
      <w:r/>
    </w:p>
    <w:p>
      <w:pPr>
        <w:jc w:val="both"/>
        <w:spacing w:after="240" w:line="360" w:lineRule="auto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 xml:space="preserve">oppure</w:t>
      </w:r>
      <w:r/>
    </w:p>
    <w:p>
      <w:p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Dato atto che il servizio da acquisire è di importo pari o superiore a 5.000,00 euro ed inferiore alla soglia comunitaria e pertanto è obbligatorio il ricorso al MEPA, ai sensi dell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articolo 1, comma 450 della l. 296/2006;</w:t>
      </w:r>
      <w:r/>
    </w:p>
    <w:p>
      <w:p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Considerato che:</w:t>
      </w:r>
      <w:r/>
    </w:p>
    <w:p>
      <w:pPr>
        <w:numPr>
          <w:ilvl w:val="0"/>
          <w:numId w:val="4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importo contrattuale complessivo per il servizio è pari a € ____________________________;</w:t>
      </w:r>
      <w:r/>
    </w:p>
    <w:p>
      <w:pPr>
        <w:numPr>
          <w:ilvl w:val="0"/>
          <w:numId w:val="4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importo complessivo contrattuale della fornitura sopra specificata è inferiore ad 75.000,00 euro e che, pertanto, è possibile procedere in via autonoma all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affidamento dell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appalto della fornitura in parola, ai sensi e per gli effetti dell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articolo 1, comma 2, lettera a) del </w:t>
      </w:r>
      <w:r>
        <w:rPr>
          <w:rFonts w:ascii="Arial" w:hAnsi="Arial" w:cs="Arial"/>
          <w:bCs/>
        </w:rPr>
        <w:t xml:space="preserve">d.l.</w:t>
      </w:r>
      <w:r>
        <w:rPr>
          <w:rFonts w:ascii="Arial" w:hAnsi="Arial" w:cs="Arial"/>
          <w:bCs/>
        </w:rPr>
        <w:t xml:space="preserve"> 76/2020 convertito dalla l. 120/2020, mediante affidamento diretto senza procedimento di gara;</w:t>
      </w:r>
      <w:r/>
    </w:p>
    <w:p>
      <w:pPr>
        <w:numPr>
          <w:ilvl w:val="0"/>
          <w:numId w:val="4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che le ragioni del ricorso all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affidamento diretto sono rinvenibili nella necessità di acquisire la fornitura quanto prima al fine di </w:t>
      </w:r>
      <w:r>
        <w:rPr>
          <w:rFonts w:ascii="Arial" w:hAnsi="Arial" w:cs="Arial"/>
          <w:bCs/>
        </w:rPr>
        <w:t xml:space="preserve">rispettare il cronoprogramma previsto dal bando</w:t>
      </w:r>
      <w:r>
        <w:rPr>
          <w:rFonts w:ascii="Arial" w:hAnsi="Arial" w:cs="Arial"/>
          <w:bCs/>
        </w:rPr>
        <w:t xml:space="preserve">;</w:t>
      </w:r>
      <w:r/>
    </w:p>
    <w:p>
      <w:p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Considerato che, il prezzo di affidamento diretto dell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appalto in oggetto può ritenersi congruo sulla base di specifica valutazione estimativa operata a cura del </w:t>
      </w:r>
      <w:r>
        <w:rPr>
          <w:rFonts w:ascii="Arial" w:hAnsi="Arial" w:cs="Arial"/>
          <w:bCs/>
        </w:rPr>
        <w:t xml:space="preserve">r</w:t>
      </w:r>
      <w:r>
        <w:rPr>
          <w:rFonts w:ascii="Arial" w:hAnsi="Arial" w:cs="Arial"/>
          <w:bCs/>
        </w:rPr>
        <w:t xml:space="preserve">esponsabile del </w:t>
      </w:r>
      <w:r>
        <w:rPr>
          <w:rFonts w:ascii="Arial" w:hAnsi="Arial" w:cs="Arial"/>
          <w:bCs/>
        </w:rPr>
        <w:t xml:space="preserve">servizio</w:t>
      </w:r>
      <w:r>
        <w:rPr>
          <w:rFonts w:ascii="Arial" w:hAnsi="Arial" w:cs="Arial"/>
          <w:bCs/>
        </w:rPr>
        <w:t xml:space="preserve">;</w:t>
      </w:r>
      <w:r/>
    </w:p>
    <w:p>
      <w:p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Dato atto che non sussistono cause di incompatibilità e conflitto d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interesse ai sensi dell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articolo 42 del d.lgs. 50/2016;</w:t>
      </w:r>
      <w:r/>
    </w:p>
    <w:p>
      <w:p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Considerato che il CIG di riferimento del presente affidamento è il ……………………………………;</w:t>
      </w:r>
      <w:r/>
    </w:p>
    <w:p>
      <w:p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Visto il regolamento di contabilità armonizzata;</w:t>
      </w:r>
      <w:r/>
    </w:p>
    <w:p>
      <w:pPr>
        <w:jc w:val="center"/>
        <w:spacing w:after="240" w:line="360" w:lineRule="auto"/>
        <w:rPr>
          <w:rFonts w:ascii="Arial" w:hAnsi="Arial" w:cs="Arial"/>
          <w:b/>
          <w:spacing w:val="30"/>
        </w:rPr>
      </w:pPr>
      <w:r>
        <w:rPr>
          <w:rFonts w:ascii="Arial" w:hAnsi="Arial" w:cs="Arial"/>
          <w:b/>
          <w:spacing w:val="30"/>
        </w:rPr>
        <w:t xml:space="preserve">DETERMINA</w:t>
      </w:r>
      <w:r/>
    </w:p>
    <w:p>
      <w:p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 di affidare, per i motivi esposti in narrativa e che qui si intendono integralmente riportati, </w:t>
      </w:r>
      <w:r>
        <w:rPr>
          <w:rFonts w:ascii="Arial" w:hAnsi="Arial" w:cs="Arial"/>
          <w:bCs/>
        </w:rPr>
        <w:t xml:space="preserve">il servizio di </w:t>
      </w:r>
      <w:r>
        <w:rPr>
          <w:rFonts w:ascii="Arial" w:hAnsi="Arial" w:cs="Arial"/>
          <w:bCs/>
        </w:rPr>
        <w:t xml:space="preserve">adesione a SPID e CIE </w:t>
      </w:r>
      <w:r>
        <w:rPr>
          <w:rFonts w:ascii="Arial" w:hAnsi="Arial" w:cs="Arial"/>
          <w:bCs/>
        </w:rPr>
        <w:t xml:space="preserve">alla società </w:t>
      </w:r>
      <w:r>
        <w:rPr>
          <w:rFonts w:ascii="Arial" w:hAnsi="Arial" w:cs="Arial"/>
          <w:bCs/>
        </w:rPr>
        <w:t xml:space="preserve">Halley  SUD S.r.l</w:t>
      </w:r>
      <w:r>
        <w:rPr>
          <w:rFonts w:ascii="Arial" w:hAnsi="Arial" w:cs="Arial"/>
          <w:bCs/>
        </w:rPr>
        <w:t xml:space="preserve">.</w:t>
      </w:r>
      <w:r/>
    </w:p>
    <w:p>
      <w:p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2. di stabilire che le attività di migrazione e attivazione dei servizi dovranno essere eseguite entro </w:t>
      </w:r>
      <w:r>
        <w:rPr>
          <w:rFonts w:ascii="Arial" w:hAnsi="Arial" w:cs="Arial"/>
          <w:bCs/>
        </w:rPr>
        <w:t xml:space="preserve">10 mesi </w:t>
      </w:r>
      <w:r>
        <w:rPr>
          <w:rFonts w:ascii="Arial" w:hAnsi="Arial" w:cs="Arial"/>
          <w:bCs/>
        </w:rPr>
        <w:t xml:space="preserve">dall’esecutività del presente atto.</w:t>
      </w:r>
      <w:r/>
    </w:p>
    <w:p>
      <w:pPr>
        <w:jc w:val="both"/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3</w:t>
      </w:r>
      <w:r>
        <w:rPr>
          <w:rFonts w:ascii="Arial" w:hAnsi="Arial" w:cs="Arial"/>
          <w:bCs/>
        </w:rPr>
        <w:t xml:space="preserve">. di impegnare, </w:t>
      </w:r>
      <w:r>
        <w:rPr>
          <w:rFonts w:ascii="Arial" w:hAnsi="Arial" w:cs="Arial"/>
        </w:rPr>
        <w:t xml:space="preserve">ai sensi dell</w:t>
      </w:r>
      <w:r>
        <w:rPr>
          <w:rFonts w:ascii="Arial" w:hAnsi="Arial" w:cs="Arial"/>
        </w:rPr>
        <w:t xml:space="preserve">’</w:t>
      </w:r>
      <w:r>
        <w:rPr>
          <w:rFonts w:ascii="Arial" w:hAnsi="Arial" w:cs="Arial"/>
        </w:rPr>
        <w:t xml:space="preserve">artico</w:t>
      </w:r>
      <w:r>
        <w:rPr>
          <w:rFonts w:ascii="Arial" w:hAnsi="Arial" w:cs="Arial"/>
        </w:rPr>
        <w:t xml:space="preserve">lo 183 del d.lgs. 267/2000 e del principio contabile applicato allegato 4/2 al d.lgs. 118/2011, le somme di cui alla tabella in calce corrispondenti ad obbligazioni giuridicamente perfezionate, con imputazione agli esercizi in cui le stesse sono esigibili.</w:t>
      </w:r>
      <w:r/>
    </w:p>
    <w:p>
      <w:p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4</w:t>
      </w:r>
      <w:r>
        <w:rPr>
          <w:rFonts w:ascii="Arial" w:hAnsi="Arial" w:cs="Arial"/>
          <w:bCs/>
        </w:rPr>
        <w:t xml:space="preserve">. di accertare, ai sensi del comma 8 dell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articolo 183 del d.lgs. 267/2000 che il programma dei conseguenti pagamenti dell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impegno di spesa di cui al presente provvedimento è compatibile con i relativi stanziamenti di cassa del bilancio e con le regole di finanza pubblica.</w:t>
      </w:r>
      <w:r/>
    </w:p>
    <w:p>
      <w:pPr>
        <w:jc w:val="both"/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</w:t>
      </w:r>
      <w:r>
        <w:rPr>
          <w:rFonts w:ascii="Arial" w:hAnsi="Arial" w:cs="Arial"/>
        </w:rPr>
        <w:t xml:space="preserve">. di comunicare ai terzi interessati il presente provvedimento, ai sensi dell</w:t>
      </w:r>
      <w:r>
        <w:rPr>
          <w:rFonts w:ascii="Arial" w:hAnsi="Arial" w:cs="Arial"/>
        </w:rPr>
        <w:t xml:space="preserve">’</w:t>
      </w:r>
      <w:r>
        <w:rPr>
          <w:rFonts w:ascii="Arial" w:hAnsi="Arial" w:cs="Arial"/>
        </w:rPr>
        <w:t xml:space="preserve">articolo 191 del d.lgs. 267/2000, specificando che le somme da corrispondere saranno liquidate su presentazione di regolare fattura entro trenta giorni dal ricevimento della stessa, previa verifica del rispetto degli impegni contrattualmente assunti.</w:t>
      </w:r>
      <w:r>
        <w:rPr>
          <w:rFonts w:ascii="Arial" w:hAnsi="Arial" w:cs="Arial"/>
        </w:rPr>
        <w:br/>
        <w:t xml:space="preserve">La fattura (inviata esclusivamente in modalità elettronica) dovrà:</w:t>
      </w:r>
      <w:r/>
    </w:p>
    <w:p>
      <w:pPr>
        <w:numPr>
          <w:ilvl w:val="0"/>
          <w:numId w:val="5"/>
        </w:numPr>
        <w:jc w:val="both"/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essere intestata al Comune di </w:t>
      </w:r>
      <w:r>
        <w:rPr>
          <w:rFonts w:ascii="Arial" w:hAnsi="Arial" w:cs="Arial"/>
        </w:rPr>
        <w:t xml:space="preserve">_______________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Servizio _____________</w:t>
      </w:r>
      <w:r>
        <w:rPr>
          <w:rFonts w:ascii="Arial" w:hAnsi="Arial" w:cs="Arial"/>
        </w:rPr>
        <w:t xml:space="preserve">;</w:t>
      </w:r>
      <w:r/>
    </w:p>
    <w:p>
      <w:pPr>
        <w:numPr>
          <w:ilvl w:val="0"/>
          <w:numId w:val="5"/>
        </w:numPr>
        <w:jc w:val="both"/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riportare al suo interno:</w:t>
      </w:r>
      <w:r/>
    </w:p>
    <w:p>
      <w:pPr>
        <w:numPr>
          <w:ilvl w:val="1"/>
          <w:numId w:val="6"/>
        </w:numPr>
        <w:jc w:val="both"/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gli estremi della presente determinazione (numero e data);</w:t>
      </w:r>
      <w:r/>
    </w:p>
    <w:p>
      <w:pPr>
        <w:numPr>
          <w:ilvl w:val="1"/>
          <w:numId w:val="6"/>
        </w:numPr>
        <w:jc w:val="both"/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il codice IPA del </w:t>
      </w:r>
      <w:r>
        <w:rPr>
          <w:rFonts w:ascii="Arial" w:hAnsi="Arial" w:cs="Arial"/>
        </w:rPr>
        <w:t xml:space="preserve">Servizio ____________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________________</w:t>
      </w:r>
      <w:r>
        <w:rPr>
          <w:rFonts w:ascii="Arial" w:hAnsi="Arial" w:cs="Arial"/>
        </w:rPr>
        <w:t xml:space="preserve">);</w:t>
      </w:r>
      <w:r/>
    </w:p>
    <w:p>
      <w:pPr>
        <w:numPr>
          <w:ilvl w:val="1"/>
          <w:numId w:val="6"/>
        </w:numPr>
        <w:jc w:val="both"/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il codice CIG (codice identificativo di gara)</w:t>
      </w:r>
      <w:r>
        <w:rPr>
          <w:rFonts w:ascii="Arial" w:hAnsi="Arial" w:cs="Arial"/>
        </w:rPr>
        <w:t xml:space="preserve"> e il codice CUP</w:t>
      </w:r>
      <w:r>
        <w:rPr>
          <w:rFonts w:ascii="Arial" w:hAnsi="Arial" w:cs="Arial"/>
        </w:rPr>
        <w:t xml:space="preserve">;</w:t>
      </w:r>
      <w:r/>
    </w:p>
    <w:p>
      <w:pPr>
        <w:numPr>
          <w:ilvl w:val="0"/>
          <w:numId w:val="5"/>
        </w:numPr>
        <w:jc w:val="both"/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contenere in allegato il conto corrente dedicato ai sensi dell</w:t>
      </w:r>
      <w:r>
        <w:rPr>
          <w:rFonts w:ascii="Arial" w:hAnsi="Arial" w:cs="Arial"/>
        </w:rPr>
        <w:t xml:space="preserve">’</w:t>
      </w:r>
      <w:r>
        <w:rPr>
          <w:rFonts w:ascii="Arial" w:hAnsi="Arial" w:cs="Arial"/>
        </w:rPr>
        <w:t xml:space="preserve">articolo 3 della l. 136/2019.</w:t>
      </w:r>
      <w:r/>
    </w:p>
    <w:p>
      <w:pPr>
        <w:jc w:val="both"/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6</w:t>
      </w:r>
      <w:r>
        <w:rPr>
          <w:rFonts w:ascii="Arial" w:hAnsi="Arial" w:cs="Arial"/>
          <w:bCs/>
        </w:rPr>
        <w:t xml:space="preserve">. di dare atto che</w:t>
      </w:r>
      <w:r>
        <w:rPr>
          <w:rFonts w:ascii="Arial" w:hAnsi="Arial" w:cs="Arial"/>
        </w:rPr>
        <w:t xml:space="preserve"> l</w:t>
      </w:r>
      <w:r>
        <w:rPr>
          <w:rFonts w:ascii="Arial" w:hAnsi="Arial" w:cs="Arial"/>
        </w:rPr>
        <w:t xml:space="preserve">’</w:t>
      </w:r>
      <w:r>
        <w:rPr>
          <w:rFonts w:ascii="Arial" w:hAnsi="Arial" w:cs="Arial"/>
        </w:rPr>
        <w:t xml:space="preserve">esecutività del presente provvedimento è subordinata all</w:t>
      </w:r>
      <w:r>
        <w:rPr>
          <w:rFonts w:ascii="Arial" w:hAnsi="Arial" w:cs="Arial"/>
        </w:rPr>
        <w:t xml:space="preserve">’</w:t>
      </w:r>
      <w:r>
        <w:rPr>
          <w:rFonts w:ascii="Arial" w:hAnsi="Arial" w:cs="Arial"/>
        </w:rPr>
        <w:t xml:space="preserve">apposizione del visto di regolarità contabile attestante la copertura finanziaria (articolo 183, comma 7 del d.lgs. 267/2000).</w:t>
      </w:r>
      <w:r/>
    </w:p>
    <w:sectPr>
      <w:footerReference w:type="default" r:id="rId9"/>
      <w:footnotePr/>
      <w:endnotePr/>
      <w:type w:val="nextPage"/>
      <w:pgSz w:w="11906" w:h="16838" w:orient="portrait"/>
      <w:pgMar w:top="1417" w:right="1134" w:bottom="1843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Wingdings">
    <w:panose1 w:val="05000000000000000000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8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-180975</wp:posOffset>
              </wp:positionV>
              <wp:extent cx="350550" cy="320068"/>
              <wp:effectExtent l="0" t="0" r="0" b="3810"/>
              <wp:wrapTight wrapText="bothSides">
                <wp:wrapPolygon edited="1">
                  <wp:start x="0" y="0"/>
                  <wp:lineTo x="0" y="20571"/>
                  <wp:lineTo x="19957" y="20571"/>
                  <wp:lineTo x="19957" y="0"/>
                  <wp:lineTo x="0" y="0"/>
                </wp:wrapPolygon>
              </wp:wrapTight>
              <wp:docPr id="1" name="Immagin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magine 2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50550" cy="3200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59264;o:allowoverlap:true;o:allowincell:true;mso-position-horizontal-relative:margin;mso-position-horizontal:center;mso-position-vertical-relative:text;margin-top:-14.2pt;mso-position-vertical:absolute;width:27.6pt;height:25.2pt;mso-wrap-distance-left:9.0pt;mso-wrap-distance-top:0.0pt;mso-wrap-distance-right:9.0pt;mso-wrap-distance-bottom:0.0pt;" wrapcoords="0 0 0 95236 92394 95236 92394 0 0 0" stroked="false">
              <v:path textboxrect="0,0,0,0"/>
              <w10:wrap type="tight"/>
              <v:imagedata r:id="rId1" o:title="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-356235</wp:posOffset>
              </wp:positionV>
              <wp:extent cx="594412" cy="175275"/>
              <wp:effectExtent l="0" t="0" r="0" b="0"/>
              <wp:wrapTight wrapText="bothSides">
                <wp:wrapPolygon edited="1">
                  <wp:start x="0" y="0"/>
                  <wp:lineTo x="0" y="18783"/>
                  <wp:lineTo x="20769" y="18783"/>
                  <wp:lineTo x="20769" y="0"/>
                  <wp:lineTo x="0" y="0"/>
                </wp:wrapPolygon>
              </wp:wrapTight>
              <wp:docPr id="2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magine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594412" cy="1752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z-index:-251658240;o:allowoverlap:true;o:allowincell:true;mso-position-horizontal-relative:margin;mso-position-horizontal:center;mso-position-vertical-relative:text;margin-top:-28.0pt;mso-position-vertical:absolute;width:46.8pt;height:13.8pt;mso-wrap-distance-left:9.0pt;mso-wrap-distance-top:0.0pt;mso-wrap-distance-right:9.0pt;mso-wrap-distance-bottom:0.0pt;" wrapcoords="0 0 0 86958 96153 86958 96153 0 0 0" stroked="false">
              <v:path textboxrect="0,0,0,0"/>
              <w10:wrap type="tight"/>
              <v:imagedata r:id="rId2" o:title=""/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lowerLetter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lowerLetter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isLgl w:val="false"/>
      <w:suff w:val="tab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1"/>
  </w:num>
  <w:num w:numId="3">
    <w:abstractNumId w:val="15"/>
  </w:num>
  <w:num w:numId="4">
    <w:abstractNumId w:val="8"/>
  </w:num>
  <w:num w:numId="5">
    <w:abstractNumId w:val="9"/>
  </w:num>
  <w:num w:numId="6">
    <w:abstractNumId w:val="5"/>
  </w:num>
  <w:num w:numId="7">
    <w:abstractNumId w:val="13"/>
  </w:num>
  <w:num w:numId="8">
    <w:abstractNumId w:val="1"/>
  </w:num>
  <w:num w:numId="9">
    <w:abstractNumId w:val="6"/>
  </w:num>
  <w:num w:numId="10">
    <w:abstractNumId w:val="10"/>
  </w:num>
  <w:num w:numId="11">
    <w:abstractNumId w:val="0"/>
  </w:num>
  <w:num w:numId="12">
    <w:abstractNumId w:val="14"/>
  </w:num>
  <w:num w:numId="13">
    <w:abstractNumId w:val="12"/>
  </w:num>
  <w:num w:numId="14">
    <w:abstractNumId w:val="16"/>
  </w:num>
  <w:num w:numId="15">
    <w:abstractNumId w:val="3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01"/>
    <w:next w:val="701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02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01"/>
    <w:next w:val="701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02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01"/>
    <w:next w:val="701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02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01"/>
    <w:next w:val="701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02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01"/>
    <w:next w:val="701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02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01"/>
    <w:next w:val="701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02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01"/>
    <w:next w:val="701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02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01"/>
    <w:next w:val="701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02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01"/>
    <w:next w:val="701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02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01"/>
    <w:next w:val="701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02"/>
    <w:link w:val="33"/>
    <w:uiPriority w:val="10"/>
    <w:rPr>
      <w:sz w:val="48"/>
      <w:szCs w:val="48"/>
    </w:rPr>
  </w:style>
  <w:style w:type="paragraph" w:styleId="35">
    <w:name w:val="Subtitle"/>
    <w:basedOn w:val="701"/>
    <w:next w:val="701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02"/>
    <w:link w:val="35"/>
    <w:uiPriority w:val="11"/>
    <w:rPr>
      <w:sz w:val="24"/>
      <w:szCs w:val="24"/>
    </w:rPr>
  </w:style>
  <w:style w:type="paragraph" w:styleId="37">
    <w:name w:val="Quote"/>
    <w:basedOn w:val="701"/>
    <w:next w:val="701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01"/>
    <w:next w:val="701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02"/>
    <w:link w:val="706"/>
    <w:uiPriority w:val="99"/>
  </w:style>
  <w:style w:type="character" w:styleId="44">
    <w:name w:val="Footer Char"/>
    <w:basedOn w:val="702"/>
    <w:link w:val="708"/>
    <w:uiPriority w:val="99"/>
  </w:style>
  <w:style w:type="paragraph" w:styleId="45">
    <w:name w:val="Caption"/>
    <w:basedOn w:val="701"/>
    <w:next w:val="70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08"/>
    <w:uiPriority w:val="99"/>
  </w:style>
  <w:style w:type="table" w:styleId="47">
    <w:name w:val="Table Grid"/>
    <w:basedOn w:val="70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0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01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02"/>
    <w:uiPriority w:val="99"/>
    <w:unhideWhenUsed/>
    <w:rPr>
      <w:vertAlign w:val="superscript"/>
    </w:rPr>
  </w:style>
  <w:style w:type="paragraph" w:styleId="177">
    <w:name w:val="endnote text"/>
    <w:basedOn w:val="701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02"/>
    <w:uiPriority w:val="99"/>
    <w:semiHidden/>
    <w:unhideWhenUsed/>
    <w:rPr>
      <w:vertAlign w:val="superscript"/>
    </w:rPr>
  </w:style>
  <w:style w:type="paragraph" w:styleId="180">
    <w:name w:val="toc 1"/>
    <w:basedOn w:val="701"/>
    <w:next w:val="701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01"/>
    <w:next w:val="701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01"/>
    <w:next w:val="701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01"/>
    <w:next w:val="701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01"/>
    <w:next w:val="701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01"/>
    <w:next w:val="701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01"/>
    <w:next w:val="701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01"/>
    <w:next w:val="701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01"/>
    <w:next w:val="701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01"/>
    <w:next w:val="701"/>
    <w:uiPriority w:val="99"/>
    <w:unhideWhenUsed/>
    <w:pPr>
      <w:spacing w:after="0" w:afterAutospacing="0"/>
    </w:pPr>
  </w:style>
  <w:style w:type="paragraph" w:styleId="701" w:default="1">
    <w:name w:val="Normal"/>
    <w:qFormat/>
  </w:style>
  <w:style w:type="character" w:styleId="702" w:default="1">
    <w:name w:val="Default Paragraph Font"/>
    <w:uiPriority w:val="1"/>
    <w:semiHidden/>
    <w:unhideWhenUsed/>
  </w:style>
  <w:style w:type="table" w:styleId="70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4" w:default="1">
    <w:name w:val="No List"/>
    <w:uiPriority w:val="99"/>
    <w:semiHidden/>
    <w:unhideWhenUsed/>
  </w:style>
  <w:style w:type="paragraph" w:styleId="705">
    <w:name w:val="List Paragraph"/>
    <w:basedOn w:val="701"/>
    <w:uiPriority w:val="34"/>
    <w:qFormat/>
    <w:pPr>
      <w:contextualSpacing/>
      <w:ind w:left="720"/>
    </w:pPr>
  </w:style>
  <w:style w:type="paragraph" w:styleId="706">
    <w:name w:val="Header"/>
    <w:basedOn w:val="701"/>
    <w:link w:val="707"/>
    <w:uiPriority w:val="99"/>
    <w:unhideWhenUsed/>
    <w:pPr>
      <w:spacing w:after="0" w:line="240" w:lineRule="auto"/>
      <w:tabs>
        <w:tab w:val="center" w:pos="4819" w:leader="none"/>
        <w:tab w:val="right" w:pos="9638" w:leader="none"/>
      </w:tabs>
    </w:pPr>
  </w:style>
  <w:style w:type="character" w:styleId="707" w:customStyle="1">
    <w:name w:val="Intestazione Carattere"/>
    <w:basedOn w:val="702"/>
    <w:link w:val="706"/>
    <w:uiPriority w:val="99"/>
  </w:style>
  <w:style w:type="paragraph" w:styleId="708">
    <w:name w:val="Footer"/>
    <w:basedOn w:val="701"/>
    <w:link w:val="709"/>
    <w:uiPriority w:val="99"/>
    <w:unhideWhenUsed/>
    <w:pPr>
      <w:spacing w:after="0" w:line="240" w:lineRule="auto"/>
      <w:tabs>
        <w:tab w:val="center" w:pos="4819" w:leader="none"/>
        <w:tab w:val="right" w:pos="9638" w:leader="none"/>
      </w:tabs>
    </w:pPr>
  </w:style>
  <w:style w:type="character" w:styleId="709" w:customStyle="1">
    <w:name w:val="Piè di pagina Carattere"/>
    <w:basedOn w:val="702"/>
    <w:link w:val="708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Dolci</dc:creator>
  <cp:keywords/>
  <dc:description/>
  <cp:revision>15</cp:revision>
  <dcterms:created xsi:type="dcterms:W3CDTF">2022-11-09T12:55:00Z</dcterms:created>
  <dcterms:modified xsi:type="dcterms:W3CDTF">2023-02-15T10:15:44Z</dcterms:modified>
</cp:coreProperties>
</file>