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Oggetto: Determina di affidamento del servizio </w:t>
      </w:r>
      <w:r>
        <w:rPr>
          <w:rFonts w:ascii="Arial" w:hAnsi="Arial" w:cs="Arial"/>
          <w:b/>
          <w:bCs/>
          <w:sz w:val="24"/>
          <w:szCs w:val="24"/>
        </w:rPr>
        <w:t xml:space="preserve">di </w:t>
      </w:r>
      <w:r>
        <w:rPr>
          <w:rFonts w:ascii="Arial" w:hAnsi="Arial" w:cs="Arial"/>
          <w:b/>
          <w:bCs/>
          <w:sz w:val="24"/>
          <w:szCs w:val="24"/>
        </w:rPr>
        <w:t xml:space="preserve">integrazione delle soluzioni gestionali del Comune con la P</w:t>
      </w:r>
      <w:r>
        <w:rPr>
          <w:rFonts w:ascii="Arial" w:hAnsi="Arial" w:cs="Arial"/>
          <w:b/>
          <w:bCs/>
          <w:sz w:val="24"/>
          <w:szCs w:val="24"/>
        </w:rPr>
        <w:t xml:space="preserve">iattaforma Notifiche Digitali P</w:t>
      </w:r>
      <w:r>
        <w:rPr>
          <w:rFonts w:ascii="Arial" w:hAnsi="Arial" w:cs="Arial"/>
          <w:b/>
          <w:bCs/>
          <w:sz w:val="24"/>
          <w:szCs w:val="24"/>
        </w:rPr>
        <w:t xml:space="preserve">N</w:t>
      </w:r>
      <w:r>
        <w:rPr>
          <w:rFonts w:ascii="Arial" w:hAnsi="Arial" w:cs="Arial"/>
          <w:b/>
          <w:bCs/>
          <w:sz w:val="24"/>
          <w:szCs w:val="24"/>
        </w:rPr>
        <w:t xml:space="preserve">D</w:t>
      </w:r>
      <w:r>
        <w:rPr>
          <w:rFonts w:ascii="Arial" w:hAnsi="Arial" w:cs="Arial"/>
          <w:b/>
          <w:bCs/>
          <w:sz w:val="24"/>
          <w:szCs w:val="24"/>
        </w:rPr>
        <w:t xml:space="preserve"> – Avviso Misura 1.4.5</w:t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IL RESPONSABILE DEL SERVIZIO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Visti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decreto legislativo 18 agosto 2000, n. 267 (</w:t>
      </w:r>
      <w:r>
        <w:rPr>
          <w:rFonts w:ascii="Arial" w:hAnsi="Arial" w:cs="Arial"/>
          <w:bCs/>
          <w:i/>
          <w:iCs/>
        </w:rPr>
        <w:t xml:space="preserve">Testo unico delle leggi sull</w:t>
      </w:r>
      <w:r>
        <w:rPr>
          <w:rFonts w:ascii="Arial" w:hAnsi="Arial" w:cs="Arial"/>
          <w:bCs/>
          <w:i/>
          <w:iCs/>
        </w:rPr>
        <w:t xml:space="preserve">’</w:t>
      </w:r>
      <w:r>
        <w:rPr>
          <w:rFonts w:ascii="Arial" w:hAnsi="Arial" w:cs="Arial"/>
          <w:bCs/>
          <w:i/>
          <w:iCs/>
        </w:rPr>
        <w:t xml:space="preserve">ordinamento degli enti locali</w:t>
      </w:r>
      <w:r>
        <w:rPr>
          <w:rFonts w:ascii="Arial" w:hAnsi="Arial" w:cs="Arial"/>
          <w:bCs/>
        </w:rPr>
        <w:t xml:space="preserve">) e il decreto legislativo 23 giugno 2011, n. 118 (</w:t>
      </w:r>
      <w:r>
        <w:rPr>
          <w:rFonts w:ascii="Arial" w:hAnsi="Arial" w:cs="Arial"/>
          <w:bCs/>
          <w:i/>
          <w:iCs/>
        </w:rPr>
        <w:t xml:space="preserve">Disposizioni in materia di armonizzazione dei sistemi contabili e degli schemi di bilancio delle Regioni, degli enti locali e dei loro organismi, a norma degli articoli 1 e 2 della legge 5 maggio 2009, n. 42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decreto legislativo 18 aprile 2016, n. 50 (</w:t>
      </w:r>
      <w:r>
        <w:rPr>
          <w:rFonts w:ascii="Arial" w:hAnsi="Arial" w:cs="Arial"/>
          <w:bCs/>
          <w:i/>
          <w:iCs/>
        </w:rPr>
        <w:t xml:space="preserve">Codice dei contratti pubblici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decreto legislativo 7 marzo 2005, n. 82 (</w:t>
      </w:r>
      <w:r>
        <w:rPr>
          <w:rFonts w:ascii="Arial" w:hAnsi="Arial" w:cs="Arial"/>
          <w:bCs/>
          <w:i/>
          <w:iCs/>
        </w:rPr>
        <w:t xml:space="preserve">Codice dell</w:t>
      </w:r>
      <w:r>
        <w:rPr>
          <w:rFonts w:ascii="Arial" w:hAnsi="Arial" w:cs="Arial"/>
          <w:bCs/>
          <w:i/>
          <w:iCs/>
        </w:rPr>
        <w:t xml:space="preserve">’</w:t>
      </w:r>
      <w:r>
        <w:rPr>
          <w:rFonts w:ascii="Arial" w:hAnsi="Arial" w:cs="Arial"/>
          <w:bCs/>
          <w:i/>
          <w:iCs/>
        </w:rPr>
        <w:t xml:space="preserve">amministrazione digitale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regolamento 12 febbraio 2021, n. 2021/241/UE (</w:t>
      </w:r>
      <w:r>
        <w:rPr>
          <w:rFonts w:ascii="Arial" w:hAnsi="Arial" w:cs="Arial"/>
          <w:bCs/>
          <w:i/>
          <w:iCs/>
        </w:rPr>
        <w:t xml:space="preserve">Regolamento del Parlamento europeo e del Consiglio che istituisce il dispositivo per la ripresa e la resilienza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legge 23 dicembre 1999, n. 488 (</w:t>
      </w:r>
      <w:r>
        <w:rPr>
          <w:rFonts w:ascii="Arial" w:hAnsi="Arial" w:cs="Arial"/>
          <w:bCs/>
          <w:i/>
          <w:iCs/>
        </w:rPr>
        <w:t xml:space="preserve">Legge finanziaria 2000</w:t>
      </w:r>
      <w:r>
        <w:rPr>
          <w:rFonts w:ascii="Arial" w:hAnsi="Arial" w:cs="Arial"/>
          <w:bCs/>
        </w:rPr>
        <w:t xml:space="preserve">) e la legge 27 dicembre 2006, n. 296 (</w:t>
      </w:r>
      <w:r>
        <w:rPr>
          <w:rFonts w:ascii="Arial" w:hAnsi="Arial" w:cs="Arial"/>
          <w:bCs/>
          <w:i/>
          <w:iCs/>
        </w:rPr>
        <w:t xml:space="preserve">Legge finanziaria 2007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legge 13 agosto 2010, n. 136 (</w:t>
      </w:r>
      <w:r>
        <w:rPr>
          <w:rFonts w:ascii="Arial" w:hAnsi="Arial" w:cs="Arial"/>
          <w:bCs/>
          <w:i/>
          <w:iCs/>
        </w:rPr>
        <w:t xml:space="preserve">Piano straordinario contro le mafie, nonché delega al Governo in materia di normativa antimafia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decreto-legge 16 luglio 2020, n. 76 (</w:t>
      </w:r>
      <w:r>
        <w:rPr>
          <w:rFonts w:ascii="Arial" w:hAnsi="Arial" w:cs="Arial"/>
          <w:bCs/>
          <w:i/>
          <w:iCs/>
        </w:rPr>
        <w:t xml:space="preserve">Misure urgenti per la semplificazione e l</w:t>
      </w:r>
      <w:r>
        <w:rPr>
          <w:rFonts w:ascii="Arial" w:hAnsi="Arial" w:cs="Arial"/>
          <w:bCs/>
          <w:i/>
          <w:iCs/>
        </w:rPr>
        <w:t xml:space="preserve">’</w:t>
      </w:r>
      <w:r>
        <w:rPr>
          <w:rFonts w:ascii="Arial" w:hAnsi="Arial" w:cs="Arial"/>
          <w:bCs/>
          <w:i/>
          <w:iCs/>
        </w:rPr>
        <w:t xml:space="preserve">innovazione digitale</w:t>
      </w:r>
      <w:r>
        <w:rPr>
          <w:rFonts w:ascii="Arial" w:hAnsi="Arial" w:cs="Arial"/>
          <w:bCs/>
        </w:rPr>
        <w:t xml:space="preserve">) convertito in legge, con modificazioni, dalla legge 11 settembre 2020, n. 120;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Visti:</w:t>
      </w:r>
      <w:r/>
    </w:p>
    <w:p>
      <w:pPr>
        <w:numPr>
          <w:ilvl w:val="0"/>
          <w:numId w:val="1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decreto n. __ del ______________ con il quale il Sindaco ha attribuito al sottoscritto le funzioni di cui agli articoli 107 e 109 del d.lgs. 267/2000 sino al termine del mandato;</w:t>
      </w:r>
      <w:r/>
    </w:p>
    <w:p>
      <w:pPr>
        <w:numPr>
          <w:ilvl w:val="0"/>
          <w:numId w:val="1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Documento unico di programmazione (DUP) 2022-2024, approvato con deliberazione del Consiglio comunale n. __ del ______________ e la relativa nota di aggiornamento approvata con deliberazione del Consiglio comunale n. __ del ______________;</w:t>
      </w:r>
      <w:r/>
    </w:p>
    <w:p>
      <w:pPr>
        <w:numPr>
          <w:ilvl w:val="0"/>
          <w:numId w:val="1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Bilancio di previsione 2022-2024, approvato con deliberazione del Consiglio comunale n. __ del ______________;</w:t>
      </w:r>
      <w:r/>
    </w:p>
    <w:p>
      <w:pPr>
        <w:numPr>
          <w:ilvl w:val="0"/>
          <w:numId w:val="1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Piano esecutivo di gestione (PEG) 2022-2024, approvato con deliberazione della Giunta comunale n. __ del ______________;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Premesso</w:t>
      </w:r>
      <w:r>
        <w:rPr>
          <w:rFonts w:ascii="Arial" w:hAnsi="Arial" w:cs="Arial"/>
          <w:bCs/>
        </w:rPr>
        <w:t xml:space="preserve"> che</w:t>
      </w:r>
      <w:r>
        <w:rPr>
          <w:rFonts w:ascii="Arial" w:hAnsi="Arial" w:cs="Arial"/>
          <w:bCs/>
        </w:rPr>
        <w:t xml:space="preserve">:</w:t>
      </w:r>
      <w:r/>
    </w:p>
    <w:p>
      <w:pPr>
        <w:pStyle w:val="705"/>
        <w:numPr>
          <w:ilvl w:val="0"/>
          <w:numId w:val="1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Piattaforma Notifiche Digitali (PND) è la piattaforma definita all’articolo 26 del d.l. 76/2020 convertito dalla l. 120/2020;</w:t>
      </w:r>
      <w:r/>
    </w:p>
    <w:p>
      <w:pPr>
        <w:pStyle w:val="705"/>
        <w:numPr>
          <w:ilvl w:val="0"/>
          <w:numId w:val="1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piattaforma permette alla Pubblica Amministrazione (PA) di inviare ai cittadini notifiche a valore legale relative agli atti amministrativ</w:t>
      </w:r>
      <w:r>
        <w:rPr>
          <w:rFonts w:ascii="Arial" w:hAnsi="Arial" w:cs="Arial"/>
          <w:bCs/>
        </w:rPr>
        <w:t xml:space="preserve">i e permette di raggiunge i cittadini attraverso canali di comunicazione digitale (PEC/SERCQ) o analogica (Raccomandata AR o 890) e riduce alla PA la complessità della gestione della comunicazione e della determinazione del miglior canale di comunicazione;</w:t>
      </w:r>
      <w:r/>
    </w:p>
    <w:p>
      <w:pPr>
        <w:pStyle w:val="705"/>
        <w:numPr>
          <w:ilvl w:val="0"/>
          <w:numId w:val="1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PND si appoggia ad ulteriori canali di comunicazione (e-mail, SMS, messaggi su app IO) per aumentare la probabilità di riuscire a contattare il cittadino destinatario della notifica;</w:t>
      </w:r>
      <w:r/>
    </w:p>
    <w:p>
      <w:pPr>
        <w:pStyle w:val="705"/>
        <w:numPr>
          <w:ilvl w:val="0"/>
          <w:numId w:val="1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accentrando la notificazione di tutta la PA, PND realizza il cassetto digitale del cittadino ed emancipa PA dalla complessità di gestire le gare di postalizzazione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Preso atto che:</w:t>
      </w:r>
      <w:r/>
    </w:p>
    <w:p>
      <w:pPr>
        <w:pStyle w:val="705"/>
        <w:numPr>
          <w:ilvl w:val="0"/>
          <w:numId w:val="1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</w:t>
      </w:r>
      <w:r>
        <w:rPr>
          <w:rFonts w:ascii="Arial" w:hAnsi="Arial" w:cs="Arial"/>
          <w:bCs/>
        </w:rPr>
        <w:t xml:space="preserve">Ministero per 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innovazione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tecnologica e la transizione digitale (MITD) </w:t>
      </w:r>
      <w:r>
        <w:rPr>
          <w:rFonts w:ascii="Arial" w:hAnsi="Arial" w:cs="Arial"/>
          <w:bCs/>
        </w:rPr>
        <w:t xml:space="preserve">ha </w:t>
      </w:r>
      <w:r>
        <w:rPr>
          <w:rFonts w:ascii="Arial" w:hAnsi="Arial" w:cs="Arial"/>
          <w:bCs/>
        </w:rPr>
        <w:t xml:space="preserve">invitato i Comuni italiani a presentare </w:t>
      </w:r>
      <w:r>
        <w:rPr>
          <w:rFonts w:ascii="Arial" w:hAnsi="Arial" w:cs="Arial"/>
          <w:bCs/>
        </w:rPr>
        <w:t xml:space="preserve">domanda di partecipazione all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avviso pubblico del Piano nazionale di ripresa e resilienza – Missione 1 – Componente 1 – Investimento 1.4 “Servizi e cittadinanza digitale” – Misura 1.4.</w:t>
      </w:r>
      <w:r>
        <w:rPr>
          <w:rFonts w:ascii="Arial" w:hAnsi="Arial" w:cs="Arial"/>
          <w:bCs/>
        </w:rPr>
        <w:t xml:space="preserve">5</w:t>
      </w:r>
      <w:r>
        <w:rPr>
          <w:rFonts w:ascii="Arial" w:hAnsi="Arial" w:cs="Arial"/>
          <w:bCs/>
        </w:rPr>
        <w:t xml:space="preserve"> “</w:t>
      </w:r>
      <w:r>
        <w:rPr>
          <w:rFonts w:ascii="Arial" w:hAnsi="Arial" w:cs="Arial"/>
          <w:bCs/>
        </w:rPr>
        <w:t xml:space="preserve">Piattaforma Notifiche Digitali</w:t>
      </w:r>
      <w:r>
        <w:rPr>
          <w:rFonts w:ascii="Arial" w:hAnsi="Arial" w:cs="Arial"/>
          <w:bCs/>
        </w:rPr>
        <w:t xml:space="preserve">” Comuni finanziato dall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Unione Europea – NextGenerationEU;</w:t>
      </w:r>
      <w:r/>
    </w:p>
    <w:p>
      <w:pPr>
        <w:pStyle w:val="705"/>
        <w:numPr>
          <w:ilvl w:val="0"/>
          <w:numId w:val="1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obiettivo </w:t>
      </w:r>
      <w:r>
        <w:rPr>
          <w:rFonts w:ascii="Arial" w:hAnsi="Arial" w:cs="Arial"/>
          <w:bCs/>
        </w:rPr>
        <w:t xml:space="preserve">previst</w:t>
      </w:r>
      <w:r>
        <w:rPr>
          <w:rFonts w:ascii="Arial" w:hAnsi="Arial" w:cs="Arial"/>
          <w:bCs/>
        </w:rPr>
        <w:t xml:space="preserve">o </w:t>
      </w:r>
      <w:r>
        <w:rPr>
          <w:rFonts w:ascii="Arial" w:hAnsi="Arial" w:cs="Arial"/>
          <w:bCs/>
        </w:rPr>
        <w:t xml:space="preserve">per la Mi</w:t>
      </w:r>
      <w:r>
        <w:rPr>
          <w:rFonts w:ascii="Arial" w:hAnsi="Arial" w:cs="Arial"/>
          <w:bCs/>
        </w:rPr>
        <w:t xml:space="preserve">sura 1.4.</w:t>
      </w:r>
      <w:r>
        <w:rPr>
          <w:rFonts w:ascii="Arial" w:hAnsi="Arial" w:cs="Arial"/>
          <w:bCs/>
        </w:rPr>
        <w:t xml:space="preserve">5</w:t>
      </w:r>
      <w:r>
        <w:rPr>
          <w:rFonts w:ascii="Arial" w:hAnsi="Arial" w:cs="Arial"/>
          <w:bCs/>
        </w:rPr>
        <w:t xml:space="preserve"> (milestone e target europei) è quello di garantire un aumento </w:t>
      </w:r>
      <w:r>
        <w:rPr>
          <w:rFonts w:ascii="Arial" w:hAnsi="Arial" w:cs="Arial"/>
          <w:bCs/>
        </w:rPr>
        <w:t xml:space="preserve">dei comuni in grado di fornire avvisi digitali giuridicamente vincolanti ai cittadini, ai soggetti giuridici, alle associazioni e a qualsiasi altro soggetto pubblico o privato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Ricordato</w:t>
      </w:r>
      <w:r>
        <w:rPr>
          <w:rFonts w:ascii="Arial" w:hAnsi="Arial" w:cs="Arial"/>
          <w:bCs/>
        </w:rPr>
        <w:t xml:space="preserve"> che 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avviso ministeriale prevede:</w:t>
      </w:r>
      <w:r/>
    </w:p>
    <w:p>
      <w:pPr>
        <w:pStyle w:val="705"/>
        <w:numPr>
          <w:ilvl w:val="0"/>
          <w:numId w:val="10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riconoscimento ai Comuni di un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importo forfettario (</w:t>
      </w:r>
      <w:r>
        <w:rPr>
          <w:rFonts w:ascii="Arial" w:hAnsi="Arial" w:cs="Arial"/>
          <w:bCs/>
          <w:i/>
          <w:iCs/>
        </w:rPr>
        <w:t xml:space="preserve">lump sum</w:t>
      </w:r>
      <w:r>
        <w:rPr>
          <w:rFonts w:ascii="Arial" w:hAnsi="Arial" w:cs="Arial"/>
          <w:bCs/>
        </w:rPr>
        <w:t xml:space="preserve">) determinato in funzione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della classe di popolazione residente nel Comune;</w:t>
      </w:r>
      <w:r/>
    </w:p>
    <w:p>
      <w:pPr>
        <w:pStyle w:val="705"/>
        <w:numPr>
          <w:ilvl w:val="0"/>
          <w:numId w:val="10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erogazione </w:t>
      </w:r>
      <w:r>
        <w:rPr>
          <w:rFonts w:ascii="Arial" w:hAnsi="Arial" w:cs="Arial"/>
          <w:bCs/>
        </w:rPr>
        <w:t xml:space="preserve">del contributo forfettario </w:t>
      </w:r>
      <w:r>
        <w:rPr>
          <w:rFonts w:ascii="Arial" w:hAnsi="Arial" w:cs="Arial"/>
          <w:bCs/>
        </w:rPr>
        <w:t xml:space="preserve">in un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unica soluzione </w:t>
      </w:r>
      <w:r>
        <w:rPr>
          <w:rFonts w:ascii="Arial" w:hAnsi="Arial" w:cs="Arial"/>
          <w:bCs/>
        </w:rPr>
        <w:t xml:space="preserve">a seguito del perfezionamento delle attività di integrazione dei sistemi del Comune alla Piattaforma Notifiche Digitali</w:t>
      </w:r>
      <w:r>
        <w:rPr>
          <w:rFonts w:ascii="Arial" w:hAnsi="Arial" w:cs="Arial"/>
          <w:bCs/>
        </w:rPr>
        <w:t xml:space="preserve"> e di attivazione di due servizi, di cui uno obbligatoriamente appartenente alla tipologia di atti di “Notifiche violazioni al codice della strada” e l’altro, a scelta del Soggetto Attuatore, da selezionare tra le altre tipologie di atti indicate nel bando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Considerato </w:t>
      </w:r>
      <w:r>
        <w:rPr>
          <w:rFonts w:ascii="Arial" w:hAnsi="Arial" w:cs="Arial"/>
          <w:bCs/>
        </w:rPr>
        <w:t xml:space="preserve">che il Comune di _____________________ ha presentato domanda in data _____________ e risulta </w:t>
      </w:r>
      <w:r>
        <w:rPr>
          <w:rFonts w:ascii="Arial" w:hAnsi="Arial" w:cs="Arial"/>
          <w:bCs/>
        </w:rPr>
        <w:t xml:space="preserve">finanziato per € ____________________ con CUP ________________________</w:t>
      </w:r>
      <w:r>
        <w:rPr>
          <w:rFonts w:ascii="Arial" w:hAnsi="Arial" w:cs="Arial"/>
          <w:bCs/>
        </w:rPr>
        <w:t xml:space="preserve">, giusto decreto di finanziamento n. ___ del _________________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Considerato</w:t>
      </w:r>
      <w:r>
        <w:rPr>
          <w:rFonts w:ascii="Arial" w:hAnsi="Arial" w:cs="Arial"/>
          <w:bCs/>
        </w:rPr>
        <w:t xml:space="preserve"> che le attività per il raggiungimento degli obiettivi del bando possono essere svolte dal Comune tramite il supporto di un Partner/Intermediario Tecnologico (se già contrattualizzato), o attraverso l’individuazione di un Partner/intermediario Tecnologico </w:t>
      </w:r>
      <w:r>
        <w:rPr>
          <w:rFonts w:ascii="Arial" w:hAnsi="Arial" w:cs="Arial"/>
          <w:bCs/>
        </w:rPr>
        <w:t xml:space="preserve">per lo sviluppo di processi di reingegnerizzazione tali da garantire l’integrazione informatica con le soluzioni gestionali in uso presso i Comuni e la piena rispondenza alle specifiche tecnico-operative previste per l’integrazione con la PND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Tenuto conto che l’ente deve contrattualizzare con il fornitore entro </w:t>
      </w:r>
      <w:r>
        <w:rPr>
          <w:rFonts w:ascii="Arial" w:hAnsi="Arial" w:cs="Arial"/>
          <w:bCs/>
        </w:rPr>
        <w:t xml:space="preserve">90 </w:t>
      </w:r>
      <w:r>
        <w:rPr>
          <w:rFonts w:ascii="Arial" w:hAnsi="Arial" w:cs="Arial"/>
          <w:bCs/>
        </w:rPr>
        <w:t xml:space="preserve">giorni dalla data di notifica del decreto di finanziamento;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Visto il preventivo della società Halley SUD S.r.l., giusto protocollo n. __</w:t>
      </w:r>
      <w:r>
        <w:rPr>
          <w:rFonts w:ascii="Arial" w:hAnsi="Arial" w:cs="Arial"/>
          <w:bCs/>
        </w:rPr>
        <w:t xml:space="preserve">__</w:t>
      </w:r>
      <w:r>
        <w:rPr>
          <w:rFonts w:ascii="Arial" w:hAnsi="Arial" w:cs="Arial"/>
          <w:bCs/>
        </w:rPr>
        <w:t xml:space="preserve"> del _______________, per l’attività di </w:t>
      </w:r>
      <w:r>
        <w:rPr>
          <w:rFonts w:ascii="Arial" w:hAnsi="Arial" w:cs="Arial"/>
          <w:bCs/>
        </w:rPr>
        <w:t xml:space="preserve">integrazione delle soluzioni gestionali del Comune con la PDN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Verificato, ai fini e per gli effetti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26 della l. 488/1999 e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1, comma 449 della l. 296/2006 che non risultano convenzioni attive stipulate da CONSIP o da centrali regionali di committenza per i beni/servizi in oggetto;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Dato atto che il bene da acquisire:</w:t>
      </w:r>
      <w:r/>
    </w:p>
    <w:p>
      <w:pPr>
        <w:numPr>
          <w:ilvl w:val="0"/>
          <w:numId w:val="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è di importo inferiore a 5.000,00 euro e pertanto non è obbligatorio il ricorso al MEPA, ai sensi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1, comma 450 della l. 296/2006;</w:t>
      </w:r>
      <w:r/>
    </w:p>
    <w:p>
      <w:pPr>
        <w:numPr>
          <w:ilvl w:val="0"/>
          <w:numId w:val="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non è negoziabile sul MEPA, non essendo disponibili bandi attivi;</w:t>
      </w:r>
      <w:r/>
    </w:p>
    <w:p>
      <w:pPr>
        <w:jc w:val="both"/>
        <w:spacing w:after="240" w:line="36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oppure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Dato atto che il servizio da acquisire è di importo pari o superiore a 5.000,00 euro ed inferiore alla soglia comunitaria e pertanto è obbligatorio il ricorso al MEPA, ai sensi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1, comma 450 della l. 296/2006;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Considerato che:</w:t>
      </w:r>
      <w:r/>
    </w:p>
    <w:p>
      <w:pPr>
        <w:numPr>
          <w:ilvl w:val="0"/>
          <w:numId w:val="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importo contrattuale complessivo per il servizio è pari a € ____________________________;</w:t>
      </w:r>
      <w:r/>
    </w:p>
    <w:p>
      <w:pPr>
        <w:numPr>
          <w:ilvl w:val="0"/>
          <w:numId w:val="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importo complessivo contrattuale della fornitura sopra specificata è inferiore ad 75.000,00 euro e che, pertanto, è possibile procedere in via autonoma all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affidamento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appalto della fornitura in parola, ai sensi e per gli effetti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1, comma 2, lettera a) del d.l. 76/2020 convertito dalla l. 120/2020, mediante affidamento diretto senza procedimento di gara;</w:t>
      </w:r>
      <w:r/>
    </w:p>
    <w:p>
      <w:pPr>
        <w:numPr>
          <w:ilvl w:val="0"/>
          <w:numId w:val="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che le ragioni del ricorso all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affidamento diretto sono rinvenibili nella necessità di acquisire la fornitura quanto prima al fine di </w:t>
      </w:r>
      <w:r>
        <w:rPr>
          <w:rFonts w:ascii="Arial" w:hAnsi="Arial" w:cs="Arial"/>
          <w:bCs/>
        </w:rPr>
        <w:t xml:space="preserve">rispettare il cronoprogramma del bando PNRR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Considerato che, il prezzo di affidamento diretto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appalto in oggetto può ritenersi congruo sulla base di specifica valutazione estimativa operata a cura del </w:t>
      </w:r>
      <w:r>
        <w:rPr>
          <w:rFonts w:ascii="Arial" w:hAnsi="Arial" w:cs="Arial"/>
          <w:bCs/>
        </w:rPr>
        <w:t xml:space="preserve">r</w:t>
      </w:r>
      <w:r>
        <w:rPr>
          <w:rFonts w:ascii="Arial" w:hAnsi="Arial" w:cs="Arial"/>
          <w:bCs/>
        </w:rPr>
        <w:t xml:space="preserve">esponsabile del </w:t>
      </w:r>
      <w:r>
        <w:rPr>
          <w:rFonts w:ascii="Arial" w:hAnsi="Arial" w:cs="Arial"/>
          <w:bCs/>
        </w:rPr>
        <w:t xml:space="preserve">servizio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Dato atto che non sussistono cause di incompatibilità e conflitto d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interesse ai sensi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42 del d.lgs. 50/2016;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Considerato che il CIG di riferimento del presente affidamento è il ……………………………………;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Visto il regolamento di contabilità armonizzata;</w:t>
      </w:r>
      <w:r/>
    </w:p>
    <w:p>
      <w:pPr>
        <w:jc w:val="center"/>
        <w:spacing w:after="240" w:line="360" w:lineRule="auto"/>
        <w:rPr>
          <w:rFonts w:ascii="Arial" w:hAnsi="Arial" w:cs="Arial"/>
          <w:b/>
          <w:spacing w:val="30"/>
        </w:rPr>
      </w:pPr>
      <w:r>
        <w:rPr>
          <w:rFonts w:ascii="Arial" w:hAnsi="Arial" w:cs="Arial"/>
          <w:b/>
          <w:spacing w:val="30"/>
        </w:rPr>
        <w:t xml:space="preserve">DETERMINA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di affidare, per i motivi esposti in narrativa e che qui si intendono integralmente riportati, </w:t>
      </w:r>
      <w:r>
        <w:rPr>
          <w:rFonts w:ascii="Arial" w:hAnsi="Arial" w:cs="Arial"/>
          <w:bCs/>
        </w:rPr>
        <w:t xml:space="preserve">il servizio di </w:t>
      </w:r>
      <w:r>
        <w:rPr>
          <w:rFonts w:ascii="Arial" w:hAnsi="Arial" w:cs="Arial"/>
          <w:bCs/>
        </w:rPr>
        <w:t xml:space="preserve">integrazione delle soluzioni gestionali del Comune con la PDN </w:t>
      </w:r>
      <w:r>
        <w:rPr>
          <w:rFonts w:ascii="Arial" w:hAnsi="Arial" w:cs="Arial"/>
          <w:bCs/>
        </w:rPr>
        <w:t xml:space="preserve">alla società </w:t>
      </w:r>
      <w:r>
        <w:rPr>
          <w:rFonts w:ascii="Arial" w:hAnsi="Arial" w:cs="Arial"/>
          <w:bCs/>
        </w:rPr>
        <w:t xml:space="preserve">Halley SUD S.r.l</w:t>
      </w:r>
      <w:r>
        <w:rPr>
          <w:rFonts w:ascii="Arial" w:hAnsi="Arial" w:cs="Arial"/>
          <w:bCs/>
        </w:rPr>
        <w:t xml:space="preserve">.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di stabilire che le attività di migrazione e attivazione dei servizi dovranno essere eseguite entro </w:t>
      </w:r>
      <w:r>
        <w:rPr>
          <w:rFonts w:ascii="Arial" w:hAnsi="Arial" w:cs="Arial"/>
          <w:bCs/>
        </w:rPr>
        <w:t xml:space="preserve">180 </w:t>
      </w:r>
      <w:r>
        <w:rPr>
          <w:rFonts w:ascii="Arial" w:hAnsi="Arial" w:cs="Arial"/>
          <w:bCs/>
        </w:rPr>
        <w:t xml:space="preserve">giorni dall’esecutività del presente atto.</w:t>
      </w:r>
      <w:r/>
    </w:p>
    <w:p>
      <w:p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</w:t>
      </w:r>
      <w:r>
        <w:rPr>
          <w:rFonts w:ascii="Arial" w:hAnsi="Arial" w:cs="Arial"/>
          <w:bCs/>
        </w:rPr>
        <w:t xml:space="preserve">. di impegnare, </w:t>
      </w:r>
      <w:r>
        <w:rPr>
          <w:rFonts w:ascii="Arial" w:hAnsi="Arial" w:cs="Arial"/>
        </w:rPr>
        <w:t xml:space="preserve">ai sensi dell</w:t>
      </w:r>
      <w:r>
        <w:rPr>
          <w:rFonts w:ascii="Arial" w:hAnsi="Arial" w:cs="Arial"/>
        </w:rPr>
        <w:t xml:space="preserve">’</w:t>
      </w:r>
      <w:r>
        <w:rPr>
          <w:rFonts w:ascii="Arial" w:hAnsi="Arial" w:cs="Arial"/>
        </w:rPr>
        <w:t xml:space="preserve">artico</w:t>
      </w:r>
      <w:r>
        <w:rPr>
          <w:rFonts w:ascii="Arial" w:hAnsi="Arial" w:cs="Arial"/>
        </w:rPr>
        <w:t xml:space="preserve">lo 183 del d.lgs. 267/2000 e del principio contabile applicato allegato 4/2 al d.lgs. 118/2011, le somme di cui alla tabella in calce corrispondenti ad obbligazioni giuridicamente perfezionate, con imputazione agli esercizi in cui le stesse sono esigibili.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</w:t>
      </w:r>
      <w:r>
        <w:rPr>
          <w:rFonts w:ascii="Arial" w:hAnsi="Arial" w:cs="Arial"/>
          <w:bCs/>
        </w:rPr>
        <w:t xml:space="preserve">. di accertare, ai sensi del comma 8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183 del d.lgs. 267/2000 che il programma dei conseguenti pagamenti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impegno di spesa di cui al presente provvedimento è compatibile con i relativi stanziamenti di cassa del bilancio e con le regole di finanza pubblica.</w:t>
      </w:r>
      <w:r/>
    </w:p>
    <w:p>
      <w:p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</w:t>
      </w:r>
      <w:r>
        <w:rPr>
          <w:rFonts w:ascii="Arial" w:hAnsi="Arial" w:cs="Arial"/>
        </w:rPr>
        <w:t xml:space="preserve">. di comunicare ai terzi interessati il presente provvedimento, ai sensi dell</w:t>
      </w:r>
      <w:r>
        <w:rPr>
          <w:rFonts w:ascii="Arial" w:hAnsi="Arial" w:cs="Arial"/>
        </w:rPr>
        <w:t xml:space="preserve">’</w:t>
      </w:r>
      <w:r>
        <w:rPr>
          <w:rFonts w:ascii="Arial" w:hAnsi="Arial" w:cs="Arial"/>
        </w:rPr>
        <w:t xml:space="preserve">articolo 191 del d.lgs. 267/2000, specificando che le somme da corrispondere saranno liquidate su presentazione di regolare fattura entro trenta giorni dal ricevimento della stessa, previa verifica del rispetto degli impegni contrattualmente assunti.</w:t>
      </w:r>
      <w:r>
        <w:rPr>
          <w:rFonts w:ascii="Arial" w:hAnsi="Arial" w:cs="Arial"/>
        </w:rPr>
        <w:br/>
        <w:t xml:space="preserve">La fattura (inviata esclusivamente in modalità elettronica) dovrà:</w:t>
      </w:r>
      <w:r/>
    </w:p>
    <w:p>
      <w:pPr>
        <w:numPr>
          <w:ilvl w:val="0"/>
          <w:numId w:val="5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essere intestata al Comune di </w:t>
      </w:r>
      <w:r>
        <w:rPr>
          <w:rFonts w:ascii="Arial" w:hAnsi="Arial" w:cs="Arial"/>
        </w:rPr>
        <w:t xml:space="preserve">_______________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Servizio _____________</w:t>
      </w:r>
      <w:r>
        <w:rPr>
          <w:rFonts w:ascii="Arial" w:hAnsi="Arial" w:cs="Arial"/>
        </w:rPr>
        <w:t xml:space="preserve">;</w:t>
      </w:r>
      <w:r/>
    </w:p>
    <w:p>
      <w:pPr>
        <w:numPr>
          <w:ilvl w:val="0"/>
          <w:numId w:val="5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riportare al suo interno:</w:t>
      </w:r>
      <w:r/>
    </w:p>
    <w:p>
      <w:pPr>
        <w:numPr>
          <w:ilvl w:val="1"/>
          <w:numId w:val="6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gli estremi della presente determinazione (numero e data);</w:t>
      </w:r>
      <w:r/>
    </w:p>
    <w:p>
      <w:pPr>
        <w:numPr>
          <w:ilvl w:val="1"/>
          <w:numId w:val="6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 codice IPA del </w:t>
      </w:r>
      <w:r>
        <w:rPr>
          <w:rFonts w:ascii="Arial" w:hAnsi="Arial" w:cs="Arial"/>
        </w:rPr>
        <w:t xml:space="preserve">Servizio ____________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________________</w:t>
      </w:r>
      <w:r>
        <w:rPr>
          <w:rFonts w:ascii="Arial" w:hAnsi="Arial" w:cs="Arial"/>
        </w:rPr>
        <w:t xml:space="preserve">);</w:t>
      </w:r>
      <w:r/>
    </w:p>
    <w:p>
      <w:pPr>
        <w:numPr>
          <w:ilvl w:val="1"/>
          <w:numId w:val="6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 codice CIG (codice identificativo di gara)</w:t>
      </w:r>
      <w:r>
        <w:rPr>
          <w:rFonts w:ascii="Arial" w:hAnsi="Arial" w:cs="Arial"/>
        </w:rPr>
        <w:t xml:space="preserve"> e il codice CUP</w:t>
      </w:r>
      <w:r>
        <w:rPr>
          <w:rFonts w:ascii="Arial" w:hAnsi="Arial" w:cs="Arial"/>
        </w:rPr>
        <w:t xml:space="preserve">;</w:t>
      </w:r>
      <w:r/>
    </w:p>
    <w:p>
      <w:pPr>
        <w:numPr>
          <w:ilvl w:val="0"/>
          <w:numId w:val="5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contenere in allegato il conto corrente dedicato ai sensi dell</w:t>
      </w:r>
      <w:r>
        <w:rPr>
          <w:rFonts w:ascii="Arial" w:hAnsi="Arial" w:cs="Arial"/>
        </w:rPr>
        <w:t xml:space="preserve">’</w:t>
      </w:r>
      <w:r>
        <w:rPr>
          <w:rFonts w:ascii="Arial" w:hAnsi="Arial" w:cs="Arial"/>
        </w:rPr>
        <w:t xml:space="preserve">articolo 3 della l. 136/2019.</w:t>
      </w:r>
      <w:r/>
    </w:p>
    <w:p>
      <w:p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6</w:t>
      </w:r>
      <w:r>
        <w:rPr>
          <w:rFonts w:ascii="Arial" w:hAnsi="Arial" w:cs="Arial"/>
          <w:bCs/>
        </w:rPr>
        <w:t xml:space="preserve">. di dare atto che</w:t>
      </w:r>
      <w:r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 xml:space="preserve">’</w:t>
      </w:r>
      <w:r>
        <w:rPr>
          <w:rFonts w:ascii="Arial" w:hAnsi="Arial" w:cs="Arial"/>
        </w:rPr>
        <w:t xml:space="preserve">esecutività del presente provvedimento è subordinata all</w:t>
      </w:r>
      <w:r>
        <w:rPr>
          <w:rFonts w:ascii="Arial" w:hAnsi="Arial" w:cs="Arial"/>
        </w:rPr>
        <w:t xml:space="preserve">’</w:t>
      </w:r>
      <w:r>
        <w:rPr>
          <w:rFonts w:ascii="Arial" w:hAnsi="Arial" w:cs="Arial"/>
        </w:rPr>
        <w:t xml:space="preserve">apposizione del visto di regolarità contabile attestante la copertura finanziaria (articolo 183, comma 7 del d.lgs. 267/2000).</w:t>
      </w:r>
      <w:r/>
    </w:p>
    <w:sectPr>
      <w:footerReference w:type="default" r:id="rId9"/>
      <w:footnotePr/>
      <w:endnotePr/>
      <w:type w:val="nextPage"/>
      <w:pgSz w:w="11906" w:h="16838" w:orient="portrait"/>
      <w:pgMar w:top="1417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-66675</wp:posOffset>
              </wp:positionV>
              <wp:extent cx="350550" cy="320068"/>
              <wp:effectExtent l="0" t="0" r="0" b="3810"/>
              <wp:wrapTight wrapText="bothSides">
                <wp:wrapPolygon edited="1">
                  <wp:start x="0" y="0"/>
                  <wp:lineTo x="0" y="20571"/>
                  <wp:lineTo x="19957" y="20571"/>
                  <wp:lineTo x="19957" y="0"/>
                  <wp:lineTo x="0" y="0"/>
                </wp:wrapPolygon>
              </wp:wrapTight>
              <wp:docPr id="1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magine 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50550" cy="3200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margin;mso-position-horizontal:center;mso-position-vertical-relative:text;margin-top:-5.2pt;mso-position-vertical:absolute;width:27.6pt;height:25.2pt;mso-wrap-distance-left:9.0pt;mso-wrap-distance-top:0.0pt;mso-wrap-distance-right:9.0pt;mso-wrap-distance-bottom:0.0pt;" wrapcoords="0 0 0 95236 92394 95236 92394 0 0 0" stroked="false">
              <v:path textboxrect="0,0,0,0"/>
              <w10:wrap type="tight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-241935</wp:posOffset>
              </wp:positionV>
              <wp:extent cx="594412" cy="175275"/>
              <wp:effectExtent l="0" t="0" r="0" b="0"/>
              <wp:wrapTight wrapText="bothSides">
                <wp:wrapPolygon edited="1">
                  <wp:start x="0" y="0"/>
                  <wp:lineTo x="0" y="18783"/>
                  <wp:lineTo x="20769" y="18783"/>
                  <wp:lineTo x="20769" y="0"/>
                  <wp:lineTo x="0" y="0"/>
                </wp:wrapPolygon>
              </wp:wrapTight>
              <wp:docPr id="2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magin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594412" cy="175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58240;o:allowoverlap:true;o:allowincell:true;mso-position-horizontal-relative:margin;mso-position-horizontal:center;mso-position-vertical-relative:text;margin-top:-19.1pt;mso-position-vertical:absolute;width:46.8pt;height:13.8pt;mso-wrap-distance-left:9.0pt;mso-wrap-distance-top:0.0pt;mso-wrap-distance-right:9.0pt;mso-wrap-distance-bottom:0.0pt;" wrapcoords="0 0 0 86958 96153 86958 96153 0 0 0" stroked="false">
              <v:path textboxrect="0,0,0,0"/>
              <w10:wrap type="tight"/>
              <v:imagedata r:id="rId2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8"/>
  </w:num>
  <w:num w:numId="5">
    <w:abstractNumId w:val="9"/>
  </w:num>
  <w:num w:numId="6">
    <w:abstractNumId w:val="5"/>
  </w:num>
  <w:num w:numId="7">
    <w:abstractNumId w:val="13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  <w:num w:numId="12">
    <w:abstractNumId w:val="14"/>
  </w:num>
  <w:num w:numId="13">
    <w:abstractNumId w:val="12"/>
  </w:num>
  <w:num w:numId="14">
    <w:abstractNumId w:val="16"/>
  </w:num>
  <w:num w:numId="15">
    <w:abstractNumId w:val="3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1"/>
    <w:next w:val="70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2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1"/>
    <w:next w:val="70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1"/>
    <w:next w:val="70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1"/>
    <w:next w:val="70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1"/>
    <w:next w:val="70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1"/>
    <w:next w:val="70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1"/>
    <w:next w:val="70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1"/>
    <w:next w:val="70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1"/>
    <w:next w:val="70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1"/>
    <w:next w:val="70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2"/>
    <w:link w:val="33"/>
    <w:uiPriority w:val="10"/>
    <w:rPr>
      <w:sz w:val="48"/>
      <w:szCs w:val="48"/>
    </w:rPr>
  </w:style>
  <w:style w:type="paragraph" w:styleId="35">
    <w:name w:val="Subtitle"/>
    <w:basedOn w:val="701"/>
    <w:next w:val="70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2"/>
    <w:link w:val="35"/>
    <w:uiPriority w:val="11"/>
    <w:rPr>
      <w:sz w:val="24"/>
      <w:szCs w:val="24"/>
    </w:rPr>
  </w:style>
  <w:style w:type="paragraph" w:styleId="37">
    <w:name w:val="Quote"/>
    <w:basedOn w:val="701"/>
    <w:next w:val="70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1"/>
    <w:next w:val="70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02"/>
    <w:link w:val="706"/>
    <w:uiPriority w:val="99"/>
  </w:style>
  <w:style w:type="character" w:styleId="44">
    <w:name w:val="Footer Char"/>
    <w:basedOn w:val="702"/>
    <w:link w:val="708"/>
    <w:uiPriority w:val="99"/>
  </w:style>
  <w:style w:type="paragraph" w:styleId="45">
    <w:name w:val="Caption"/>
    <w:basedOn w:val="701"/>
    <w:next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8"/>
    <w:uiPriority w:val="99"/>
  </w:style>
  <w:style w:type="table" w:styleId="47">
    <w:name w:val="Table Grid"/>
    <w:basedOn w:val="7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2"/>
    <w:uiPriority w:val="99"/>
    <w:unhideWhenUsed/>
    <w:rPr>
      <w:vertAlign w:val="superscript"/>
    </w:rPr>
  </w:style>
  <w:style w:type="paragraph" w:styleId="177">
    <w:name w:val="endnote text"/>
    <w:basedOn w:val="70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2"/>
    <w:uiPriority w:val="99"/>
    <w:semiHidden/>
    <w:unhideWhenUsed/>
    <w:rPr>
      <w:vertAlign w:val="superscript"/>
    </w:rPr>
  </w:style>
  <w:style w:type="paragraph" w:styleId="180">
    <w:name w:val="toc 1"/>
    <w:basedOn w:val="701"/>
    <w:next w:val="70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1"/>
    <w:next w:val="70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1"/>
    <w:next w:val="70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1"/>
    <w:next w:val="70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1"/>
    <w:next w:val="70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1"/>
    <w:next w:val="70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1"/>
    <w:next w:val="70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1"/>
    <w:next w:val="70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1"/>
    <w:next w:val="70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1"/>
    <w:next w:val="701"/>
    <w:uiPriority w:val="99"/>
    <w:unhideWhenUsed/>
    <w:pPr>
      <w:spacing w:after="0" w:afterAutospacing="0"/>
    </w:pPr>
  </w:style>
  <w:style w:type="paragraph" w:styleId="701" w:default="1">
    <w:name w:val="Normal"/>
    <w:qFormat/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paragraph" w:styleId="705">
    <w:name w:val="List Paragraph"/>
    <w:basedOn w:val="701"/>
    <w:uiPriority w:val="34"/>
    <w:qFormat/>
    <w:pPr>
      <w:contextualSpacing/>
      <w:ind w:left="720"/>
    </w:pPr>
  </w:style>
  <w:style w:type="paragraph" w:styleId="706">
    <w:name w:val="Header"/>
    <w:basedOn w:val="701"/>
    <w:link w:val="707"/>
    <w:uiPriority w:val="99"/>
    <w:unhideWhenUsed/>
    <w:pPr>
      <w:spacing w:after="0" w:line="240" w:lineRule="auto"/>
      <w:tabs>
        <w:tab w:val="center" w:pos="4819" w:leader="none"/>
        <w:tab w:val="right" w:pos="9638" w:leader="none"/>
      </w:tabs>
    </w:pPr>
  </w:style>
  <w:style w:type="character" w:styleId="707" w:customStyle="1">
    <w:name w:val="Intestazione Carattere"/>
    <w:basedOn w:val="702"/>
    <w:link w:val="706"/>
    <w:uiPriority w:val="99"/>
  </w:style>
  <w:style w:type="paragraph" w:styleId="708">
    <w:name w:val="Footer"/>
    <w:basedOn w:val="701"/>
    <w:link w:val="709"/>
    <w:uiPriority w:val="99"/>
    <w:unhideWhenUsed/>
    <w:pPr>
      <w:spacing w:after="0" w:line="240" w:lineRule="auto"/>
      <w:tabs>
        <w:tab w:val="center" w:pos="4819" w:leader="none"/>
        <w:tab w:val="right" w:pos="9638" w:leader="none"/>
      </w:tabs>
    </w:pPr>
  </w:style>
  <w:style w:type="character" w:styleId="709" w:customStyle="1">
    <w:name w:val="Piè di pagina Carattere"/>
    <w:basedOn w:val="702"/>
    <w:link w:val="70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Dolci</dc:creator>
  <cp:keywords/>
  <dc:description/>
  <cp:revision>18</cp:revision>
  <dcterms:created xsi:type="dcterms:W3CDTF">2022-11-09T12:55:00Z</dcterms:created>
  <dcterms:modified xsi:type="dcterms:W3CDTF">2023-02-15T10:01:18Z</dcterms:modified>
</cp:coreProperties>
</file>