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line="360" w:lineRule="auto"/>
        <w:rPr>
          <w:rFonts w:ascii="Arial" w:hAnsi="Arial" w:cs="Arial"/>
          <w:b/>
          <w:bCs/>
          <w:sz w:val="24"/>
          <w:szCs w:val="24"/>
        </w:rPr>
      </w:pPr>
      <w:r>
        <w:rPr>
          <w:rFonts w:ascii="Arial" w:hAnsi="Arial" w:cs="Arial"/>
          <w:b/>
          <w:bCs/>
          <w:sz w:val="24"/>
          <w:szCs w:val="24"/>
        </w:rPr>
        <w:t xml:space="preserve">Oggetto: Determina di affidamento del servizio </w:t>
      </w:r>
      <w:r>
        <w:rPr>
          <w:rFonts w:ascii="Arial" w:hAnsi="Arial" w:cs="Arial"/>
          <w:b/>
          <w:bCs/>
          <w:sz w:val="24"/>
          <w:szCs w:val="24"/>
        </w:rPr>
        <w:t xml:space="preserve">di sviluppo di processi di reingegnerizzazione tali da garantire l</w:t>
      </w:r>
      <w:r>
        <w:rPr>
          <w:rFonts w:ascii="Arial" w:hAnsi="Arial" w:cs="Arial"/>
          <w:b/>
          <w:bCs/>
          <w:sz w:val="24"/>
          <w:szCs w:val="24"/>
        </w:rPr>
        <w:t xml:space="preserve">’</w:t>
      </w:r>
      <w:r>
        <w:rPr>
          <w:rFonts w:ascii="Arial" w:hAnsi="Arial" w:cs="Arial"/>
          <w:b/>
          <w:bCs/>
          <w:sz w:val="24"/>
          <w:szCs w:val="24"/>
        </w:rPr>
        <w:t xml:space="preserve">integrazione informatica con le soluzioni gestionali in uso presso il Comune e la piena rispondenza alle specifiche tecnico-operative previste per l</w:t>
      </w:r>
      <w:r>
        <w:rPr>
          <w:rFonts w:ascii="Arial" w:hAnsi="Arial" w:cs="Arial"/>
          <w:b/>
          <w:bCs/>
          <w:sz w:val="24"/>
          <w:szCs w:val="24"/>
        </w:rPr>
        <w:t xml:space="preserve">’</w:t>
      </w:r>
      <w:r>
        <w:rPr>
          <w:rFonts w:ascii="Arial" w:hAnsi="Arial" w:cs="Arial"/>
          <w:b/>
          <w:bCs/>
          <w:sz w:val="24"/>
          <w:szCs w:val="24"/>
        </w:rPr>
        <w:t xml:space="preserve">integrazione con la PDND</w:t>
      </w:r>
      <w:r>
        <w:rPr>
          <w:rFonts w:ascii="Arial" w:hAnsi="Arial" w:cs="Arial"/>
          <w:b/>
          <w:bCs/>
          <w:sz w:val="24"/>
          <w:szCs w:val="24"/>
        </w:rPr>
        <w:t xml:space="preserve"> – Avviso Misura 1.3.1</w:t>
      </w:r>
      <w:r/>
    </w:p>
    <w:p>
      <w:pPr>
        <w:jc w:val="center"/>
        <w:rPr>
          <w:rFonts w:ascii="Arial" w:hAnsi="Arial" w:cs="Arial"/>
        </w:rPr>
      </w:pPr>
      <w:r>
        <w:rPr>
          <w:rFonts w:ascii="Arial" w:hAnsi="Arial" w:cs="Arial"/>
        </w:rPr>
        <w:t xml:space="preserve">IL RESPONSABILE DEL SERVIZIO</w:t>
      </w:r>
      <w:r/>
    </w:p>
    <w:p>
      <w:pPr>
        <w:jc w:val="both"/>
        <w:spacing w:after="240" w:line="360" w:lineRule="auto"/>
        <w:rPr>
          <w:rFonts w:ascii="Arial" w:hAnsi="Arial" w:cs="Arial"/>
          <w:bCs/>
        </w:rPr>
      </w:pPr>
      <w:r>
        <w:rPr>
          <w:rFonts w:ascii="Arial" w:hAnsi="Arial" w:cs="Arial"/>
          <w:bCs/>
        </w:rPr>
        <w:t xml:space="preserve">Visti</w:t>
      </w:r>
      <w:r/>
    </w:p>
    <w:p>
      <w:pPr>
        <w:numPr>
          <w:ilvl w:val="0"/>
          <w:numId w:val="2"/>
        </w:numPr>
        <w:jc w:val="both"/>
        <w:spacing w:after="240" w:line="360" w:lineRule="auto"/>
        <w:rPr>
          <w:rFonts w:ascii="Arial" w:hAnsi="Arial" w:cs="Arial"/>
          <w:bCs/>
        </w:rPr>
      </w:pPr>
      <w:r>
        <w:rPr>
          <w:rFonts w:ascii="Arial" w:hAnsi="Arial" w:cs="Arial"/>
          <w:bCs/>
        </w:rPr>
        <w:t xml:space="preserve">il decreto legislativo 18 agosto 2000, n. 267 (</w:t>
      </w:r>
      <w:r>
        <w:rPr>
          <w:rFonts w:ascii="Arial" w:hAnsi="Arial" w:cs="Arial"/>
          <w:bCs/>
          <w:i/>
          <w:iCs/>
        </w:rPr>
        <w:t xml:space="preserve">Testo unico delle leggi sull</w:t>
      </w:r>
      <w:r>
        <w:rPr>
          <w:rFonts w:ascii="Arial" w:hAnsi="Arial" w:cs="Arial"/>
          <w:bCs/>
          <w:i/>
          <w:iCs/>
        </w:rPr>
        <w:t xml:space="preserve">’</w:t>
      </w:r>
      <w:r>
        <w:rPr>
          <w:rFonts w:ascii="Arial" w:hAnsi="Arial" w:cs="Arial"/>
          <w:bCs/>
          <w:i/>
          <w:iCs/>
        </w:rPr>
        <w:t xml:space="preserve">ordinamento degli enti locali</w:t>
      </w:r>
      <w:r>
        <w:rPr>
          <w:rFonts w:ascii="Arial" w:hAnsi="Arial" w:cs="Arial"/>
          <w:bCs/>
        </w:rPr>
        <w:t xml:space="preserve">) e il decreto legislativo 23 giugno 2011, n. 118 (</w:t>
      </w:r>
      <w:r>
        <w:rPr>
          <w:rFonts w:ascii="Arial" w:hAnsi="Arial" w:cs="Arial"/>
          <w:bCs/>
          <w:i/>
          <w:iCs/>
        </w:rPr>
        <w:t xml:space="preserve">Disposizioni in materia di armonizzazione dei sistemi contabili e degli schemi di bilancio delle Regioni, degli enti locali e dei loro organismi, a norma degli articoli 1 e 2 della legge 5 maggio 2009, n. 42</w:t>
      </w:r>
      <w:r>
        <w:rPr>
          <w:rFonts w:ascii="Arial" w:hAnsi="Arial" w:cs="Arial"/>
          <w:bCs/>
        </w:rPr>
        <w:t xml:space="preserve">);</w:t>
      </w:r>
      <w:r/>
    </w:p>
    <w:p>
      <w:pPr>
        <w:numPr>
          <w:ilvl w:val="0"/>
          <w:numId w:val="2"/>
        </w:numPr>
        <w:jc w:val="both"/>
        <w:spacing w:after="240" w:line="360" w:lineRule="auto"/>
        <w:rPr>
          <w:rFonts w:ascii="Arial" w:hAnsi="Arial" w:cs="Arial"/>
          <w:bCs/>
        </w:rPr>
      </w:pPr>
      <w:r>
        <w:rPr>
          <w:rFonts w:ascii="Arial" w:hAnsi="Arial" w:cs="Arial"/>
          <w:bCs/>
        </w:rPr>
        <w:t xml:space="preserve">il decreto legislativo 18 aprile 2016, n. 50 (</w:t>
      </w:r>
      <w:r>
        <w:rPr>
          <w:rFonts w:ascii="Arial" w:hAnsi="Arial" w:cs="Arial"/>
          <w:bCs/>
          <w:i/>
          <w:iCs/>
        </w:rPr>
        <w:t xml:space="preserve">Codice dei contratti pubblici</w:t>
      </w:r>
      <w:r>
        <w:rPr>
          <w:rFonts w:ascii="Arial" w:hAnsi="Arial" w:cs="Arial"/>
          <w:bCs/>
        </w:rPr>
        <w:t xml:space="preserve">);</w:t>
      </w:r>
      <w:r/>
    </w:p>
    <w:p>
      <w:pPr>
        <w:numPr>
          <w:ilvl w:val="0"/>
          <w:numId w:val="2"/>
        </w:numPr>
        <w:jc w:val="both"/>
        <w:spacing w:after="240" w:line="360" w:lineRule="auto"/>
        <w:rPr>
          <w:rFonts w:ascii="Arial" w:hAnsi="Arial" w:cs="Arial"/>
          <w:bCs/>
        </w:rPr>
      </w:pPr>
      <w:r>
        <w:rPr>
          <w:rFonts w:ascii="Arial" w:hAnsi="Arial" w:cs="Arial"/>
          <w:bCs/>
        </w:rPr>
        <w:t xml:space="preserve">il decreto legislativo 7 marzo 2005, n. 82 (</w:t>
      </w:r>
      <w:r>
        <w:rPr>
          <w:rFonts w:ascii="Arial" w:hAnsi="Arial" w:cs="Arial"/>
          <w:bCs/>
          <w:i/>
          <w:iCs/>
        </w:rPr>
        <w:t xml:space="preserve">Codice dell</w:t>
      </w:r>
      <w:r>
        <w:rPr>
          <w:rFonts w:ascii="Arial" w:hAnsi="Arial" w:cs="Arial"/>
          <w:bCs/>
          <w:i/>
          <w:iCs/>
        </w:rPr>
        <w:t xml:space="preserve">’</w:t>
      </w:r>
      <w:r>
        <w:rPr>
          <w:rFonts w:ascii="Arial" w:hAnsi="Arial" w:cs="Arial"/>
          <w:bCs/>
          <w:i/>
          <w:iCs/>
        </w:rPr>
        <w:t xml:space="preserve">amministrazione digitale</w:t>
      </w:r>
      <w:r>
        <w:rPr>
          <w:rFonts w:ascii="Arial" w:hAnsi="Arial" w:cs="Arial"/>
          <w:bCs/>
        </w:rPr>
        <w:t xml:space="preserve">);</w:t>
      </w:r>
      <w:r/>
    </w:p>
    <w:p>
      <w:pPr>
        <w:numPr>
          <w:ilvl w:val="0"/>
          <w:numId w:val="2"/>
        </w:numPr>
        <w:jc w:val="both"/>
        <w:spacing w:after="240" w:line="360" w:lineRule="auto"/>
        <w:rPr>
          <w:rFonts w:ascii="Arial" w:hAnsi="Arial" w:cs="Arial"/>
          <w:bCs/>
        </w:rPr>
      </w:pPr>
      <w:r>
        <w:rPr>
          <w:rFonts w:ascii="Arial" w:hAnsi="Arial" w:cs="Arial"/>
          <w:bCs/>
        </w:rPr>
        <w:t xml:space="preserve">il regolamento 12 febbraio 2021, n. 2021/241/UE (</w:t>
      </w:r>
      <w:r>
        <w:rPr>
          <w:rFonts w:ascii="Arial" w:hAnsi="Arial" w:cs="Arial"/>
          <w:bCs/>
          <w:i/>
          <w:iCs/>
        </w:rPr>
        <w:t xml:space="preserve">Regolamento del Parlamento europeo e del Consiglio che istituisce il dispositivo per la ripresa e la resilienza</w:t>
      </w:r>
      <w:r>
        <w:rPr>
          <w:rFonts w:ascii="Arial" w:hAnsi="Arial" w:cs="Arial"/>
          <w:bCs/>
        </w:rPr>
        <w:t xml:space="preserve">);</w:t>
      </w:r>
      <w:r/>
    </w:p>
    <w:p>
      <w:pPr>
        <w:numPr>
          <w:ilvl w:val="0"/>
          <w:numId w:val="2"/>
        </w:numPr>
        <w:jc w:val="both"/>
        <w:spacing w:after="240" w:line="360" w:lineRule="auto"/>
        <w:rPr>
          <w:rFonts w:ascii="Arial" w:hAnsi="Arial" w:cs="Arial"/>
          <w:bCs/>
        </w:rPr>
      </w:pPr>
      <w:r>
        <w:rPr>
          <w:rFonts w:ascii="Arial" w:hAnsi="Arial" w:cs="Arial"/>
          <w:bCs/>
        </w:rPr>
        <w:t xml:space="preserve">la legge 23 dicembre 1999, n. 488 (</w:t>
      </w:r>
      <w:r>
        <w:rPr>
          <w:rFonts w:ascii="Arial" w:hAnsi="Arial" w:cs="Arial"/>
          <w:bCs/>
          <w:i/>
          <w:iCs/>
        </w:rPr>
        <w:t xml:space="preserve">Legge finanziaria 2000</w:t>
      </w:r>
      <w:r>
        <w:rPr>
          <w:rFonts w:ascii="Arial" w:hAnsi="Arial" w:cs="Arial"/>
          <w:bCs/>
        </w:rPr>
        <w:t xml:space="preserve">) e la legge 27 dicembre 2006, n. 296 (</w:t>
      </w:r>
      <w:r>
        <w:rPr>
          <w:rFonts w:ascii="Arial" w:hAnsi="Arial" w:cs="Arial"/>
          <w:bCs/>
          <w:i/>
          <w:iCs/>
        </w:rPr>
        <w:t xml:space="preserve">Legge finanziaria 2007</w:t>
      </w:r>
      <w:r>
        <w:rPr>
          <w:rFonts w:ascii="Arial" w:hAnsi="Arial" w:cs="Arial"/>
          <w:bCs/>
        </w:rPr>
        <w:t xml:space="preserve">);</w:t>
      </w:r>
      <w:r/>
    </w:p>
    <w:p>
      <w:pPr>
        <w:numPr>
          <w:ilvl w:val="0"/>
          <w:numId w:val="2"/>
        </w:numPr>
        <w:jc w:val="both"/>
        <w:spacing w:after="240" w:line="360" w:lineRule="auto"/>
        <w:rPr>
          <w:rFonts w:ascii="Arial" w:hAnsi="Arial" w:cs="Arial"/>
          <w:bCs/>
        </w:rPr>
      </w:pPr>
      <w:r>
        <w:rPr>
          <w:rFonts w:ascii="Arial" w:hAnsi="Arial" w:cs="Arial"/>
          <w:bCs/>
        </w:rPr>
        <w:t xml:space="preserve">legge 13 agosto 2010, n. 136 (</w:t>
      </w:r>
      <w:r>
        <w:rPr>
          <w:rFonts w:ascii="Arial" w:hAnsi="Arial" w:cs="Arial"/>
          <w:bCs/>
          <w:i/>
          <w:iCs/>
        </w:rPr>
        <w:t xml:space="preserve">Piano straordinario contro le mafie, nonché delega al Governo in materia di normativa antimafia</w:t>
      </w:r>
      <w:r>
        <w:rPr>
          <w:rFonts w:ascii="Arial" w:hAnsi="Arial" w:cs="Arial"/>
          <w:bCs/>
        </w:rPr>
        <w:t xml:space="preserve">);</w:t>
      </w:r>
      <w:r/>
    </w:p>
    <w:p>
      <w:pPr>
        <w:numPr>
          <w:ilvl w:val="0"/>
          <w:numId w:val="2"/>
        </w:numPr>
        <w:jc w:val="both"/>
        <w:spacing w:after="240" w:line="360" w:lineRule="auto"/>
        <w:rPr>
          <w:rFonts w:ascii="Arial" w:hAnsi="Arial" w:cs="Arial"/>
          <w:bCs/>
        </w:rPr>
      </w:pPr>
      <w:r>
        <w:rPr>
          <w:rFonts w:ascii="Arial" w:hAnsi="Arial" w:cs="Arial"/>
          <w:bCs/>
        </w:rPr>
        <w:t xml:space="preserve">il decreto-legge 16 luglio 2020, n. 76 (</w:t>
      </w:r>
      <w:r>
        <w:rPr>
          <w:rFonts w:ascii="Arial" w:hAnsi="Arial" w:cs="Arial"/>
          <w:bCs/>
          <w:i/>
          <w:iCs/>
        </w:rPr>
        <w:t xml:space="preserve">Misure urgenti per la semplificazione e l</w:t>
      </w:r>
      <w:r>
        <w:rPr>
          <w:rFonts w:ascii="Arial" w:hAnsi="Arial" w:cs="Arial"/>
          <w:bCs/>
          <w:i/>
          <w:iCs/>
        </w:rPr>
        <w:t xml:space="preserve">’</w:t>
      </w:r>
      <w:r>
        <w:rPr>
          <w:rFonts w:ascii="Arial" w:hAnsi="Arial" w:cs="Arial"/>
          <w:bCs/>
          <w:i/>
          <w:iCs/>
        </w:rPr>
        <w:t xml:space="preserve">innovazione digitale</w:t>
      </w:r>
      <w:r>
        <w:rPr>
          <w:rFonts w:ascii="Arial" w:hAnsi="Arial" w:cs="Arial"/>
          <w:bCs/>
        </w:rPr>
        <w:t xml:space="preserve">) convertito in legge, con modificazioni, dalla legge 11 settembre 2020, n. 120;</w:t>
      </w:r>
      <w:r/>
    </w:p>
    <w:p>
      <w:pPr>
        <w:jc w:val="both"/>
        <w:spacing w:after="240" w:line="360" w:lineRule="auto"/>
        <w:rPr>
          <w:rFonts w:ascii="Arial" w:hAnsi="Arial" w:cs="Arial"/>
          <w:bCs/>
        </w:rPr>
      </w:pPr>
      <w:r>
        <w:rPr>
          <w:rFonts w:ascii="Arial" w:hAnsi="Arial" w:cs="Arial"/>
          <w:bCs/>
        </w:rPr>
        <w:t xml:space="preserve">Visti:</w:t>
      </w:r>
      <w:r/>
    </w:p>
    <w:p>
      <w:pPr>
        <w:numPr>
          <w:ilvl w:val="0"/>
          <w:numId w:val="1"/>
        </w:numPr>
        <w:jc w:val="both"/>
        <w:spacing w:after="240" w:line="360" w:lineRule="auto"/>
        <w:rPr>
          <w:rFonts w:ascii="Arial" w:hAnsi="Arial" w:cs="Arial"/>
          <w:bCs/>
        </w:rPr>
      </w:pPr>
      <w:r>
        <w:rPr>
          <w:rFonts w:ascii="Arial" w:hAnsi="Arial" w:cs="Arial"/>
          <w:bCs/>
        </w:rPr>
        <w:t xml:space="preserve">il decreto n. __ del ______________ con il quale il Sindaco ha attribuito al sottoscritto le funzioni di cui agli articoli 107 e 109 del d.lgs. 267/2000 sino al termine del mandato;</w:t>
      </w:r>
      <w:r/>
    </w:p>
    <w:p>
      <w:pPr>
        <w:numPr>
          <w:ilvl w:val="0"/>
          <w:numId w:val="1"/>
        </w:numPr>
        <w:jc w:val="both"/>
        <w:spacing w:after="240" w:line="360" w:lineRule="auto"/>
        <w:rPr>
          <w:rFonts w:ascii="Arial" w:hAnsi="Arial" w:cs="Arial"/>
          <w:bCs/>
        </w:rPr>
      </w:pPr>
      <w:r>
        <w:rPr>
          <w:rFonts w:ascii="Arial" w:hAnsi="Arial" w:cs="Arial"/>
          <w:bCs/>
        </w:rPr>
        <w:t xml:space="preserve">il Documento unico di programmazione (DUP) 2022-2024, approvato con deliberazione del Consiglio comunale n. __ del ______________ e la relativa nota di aggiornamento approvata con deliberazione del Consiglio comunale n. __ del ______________;</w:t>
      </w:r>
      <w:r/>
    </w:p>
    <w:p>
      <w:pPr>
        <w:numPr>
          <w:ilvl w:val="0"/>
          <w:numId w:val="1"/>
        </w:numPr>
        <w:jc w:val="both"/>
        <w:spacing w:after="240" w:line="360" w:lineRule="auto"/>
        <w:rPr>
          <w:rFonts w:ascii="Arial" w:hAnsi="Arial" w:cs="Arial"/>
          <w:bCs/>
        </w:rPr>
      </w:pPr>
      <w:r>
        <w:rPr>
          <w:rFonts w:ascii="Arial" w:hAnsi="Arial" w:cs="Arial"/>
          <w:bCs/>
        </w:rPr>
        <w:t xml:space="preserve">il Bilancio di previsione 2022-2024, approvato con deliberazione del Consiglio comunale n. __ del ______________;</w:t>
      </w:r>
      <w:r/>
    </w:p>
    <w:p>
      <w:pPr>
        <w:numPr>
          <w:ilvl w:val="0"/>
          <w:numId w:val="1"/>
        </w:numPr>
        <w:jc w:val="both"/>
        <w:spacing w:after="240" w:line="360" w:lineRule="auto"/>
        <w:rPr>
          <w:rFonts w:ascii="Arial" w:hAnsi="Arial" w:cs="Arial"/>
          <w:bCs/>
        </w:rPr>
      </w:pPr>
      <w:r>
        <w:rPr>
          <w:rFonts w:ascii="Arial" w:hAnsi="Arial" w:cs="Arial"/>
          <w:bCs/>
        </w:rPr>
        <w:t xml:space="preserve">il Piano esecutivo di gestione (PEG) 2022-2024, approvato con deliberazione della Giunta comunale n. __ del ______________;</w:t>
      </w:r>
      <w:r/>
    </w:p>
    <w:p>
      <w:pPr>
        <w:jc w:val="both"/>
        <w:spacing w:after="240" w:line="360" w:lineRule="auto"/>
        <w:rPr>
          <w:rFonts w:ascii="Arial" w:hAnsi="Arial" w:cs="Arial"/>
          <w:bCs/>
        </w:rPr>
      </w:pPr>
      <w:r>
        <w:rPr>
          <w:rFonts w:ascii="Arial" w:hAnsi="Arial" w:cs="Arial"/>
          <w:bCs/>
        </w:rPr>
        <w:t xml:space="preserve">Premesso</w:t>
      </w:r>
      <w:r>
        <w:rPr>
          <w:rFonts w:ascii="Arial" w:hAnsi="Arial" w:cs="Arial"/>
          <w:bCs/>
        </w:rPr>
        <w:t xml:space="preserve"> che</w:t>
      </w:r>
      <w:r>
        <w:rPr>
          <w:rFonts w:ascii="Arial" w:hAnsi="Arial" w:cs="Arial"/>
          <w:bCs/>
        </w:rPr>
        <w:t xml:space="preserve">:</w:t>
      </w:r>
      <w:r/>
    </w:p>
    <w:p>
      <w:pPr>
        <w:pStyle w:val="755"/>
        <w:numPr>
          <w:ilvl w:val="0"/>
          <w:numId w:val="13"/>
        </w:numPr>
        <w:jc w:val="both"/>
        <w:spacing w:after="240" w:line="360" w:lineRule="auto"/>
        <w:rPr>
          <w:rFonts w:ascii="Arial" w:hAnsi="Arial" w:cs="Arial"/>
          <w:bCs/>
        </w:rPr>
      </w:pPr>
      <w:r>
        <w:rPr>
          <w:rFonts w:ascii="Arial" w:hAnsi="Arial" w:cs="Arial"/>
          <w:bCs/>
        </w:rPr>
        <w:t xml:space="preserve">la Piattaforma Digitale Nazionale Dati (PDND) è lo strumento definito all</w:t>
      </w:r>
      <w:r>
        <w:rPr>
          <w:rFonts w:ascii="Arial" w:hAnsi="Arial" w:cs="Arial"/>
          <w:bCs/>
        </w:rPr>
        <w:t xml:space="preserve">’</w:t>
      </w:r>
      <w:r>
        <w:rPr>
          <w:rFonts w:ascii="Arial" w:hAnsi="Arial" w:cs="Arial"/>
          <w:bCs/>
        </w:rPr>
        <w:t xml:space="preserve">articolo 50-ter, comma 2, del d.lgs. 82/2005 di cui gli enti pubblici si avvalgono al fine di favorire la conoscenza e l</w:t>
      </w:r>
      <w:r>
        <w:rPr>
          <w:rFonts w:ascii="Arial" w:hAnsi="Arial" w:cs="Arial"/>
          <w:bCs/>
        </w:rPr>
        <w:t xml:space="preserve">’</w:t>
      </w:r>
      <w:r>
        <w:rPr>
          <w:rFonts w:ascii="Arial" w:hAnsi="Arial" w:cs="Arial"/>
          <w:bCs/>
        </w:rPr>
        <w:t xml:space="preserve">utilizzo del patrimonio informativo detenuto per finalità istituzionali nelle banche dati a loro riferibili nonché la condivisione dei dati con i soggetti che hanno diritto di accedervi in attuazione dell</w:t>
      </w:r>
      <w:r>
        <w:rPr>
          <w:rFonts w:ascii="Arial" w:hAnsi="Arial" w:cs="Arial"/>
          <w:bCs/>
        </w:rPr>
        <w:t xml:space="preserve">’</w:t>
      </w:r>
      <w:r>
        <w:rPr>
          <w:rFonts w:ascii="Arial" w:hAnsi="Arial" w:cs="Arial"/>
          <w:bCs/>
        </w:rPr>
        <w:t xml:space="preserve">articolo 50 del d.lgs. 82/2005 per la semplificazione degli adempimenti dei cittadini e delle imprese</w:t>
      </w:r>
      <w:r>
        <w:rPr>
          <w:rFonts w:ascii="Arial" w:hAnsi="Arial" w:cs="Arial"/>
          <w:bCs/>
        </w:rPr>
        <w:t xml:space="preserve">;</w:t>
      </w:r>
      <w:r/>
    </w:p>
    <w:p>
      <w:pPr>
        <w:pStyle w:val="755"/>
        <w:numPr>
          <w:ilvl w:val="0"/>
          <w:numId w:val="13"/>
        </w:numPr>
        <w:jc w:val="both"/>
        <w:spacing w:after="240" w:line="360" w:lineRule="auto"/>
        <w:rPr>
          <w:rFonts w:ascii="Arial" w:hAnsi="Arial" w:cs="Arial"/>
          <w:bCs/>
        </w:rPr>
      </w:pPr>
      <w:r>
        <w:rPr>
          <w:rFonts w:ascii="Arial" w:hAnsi="Arial" w:cs="Arial"/>
          <w:bCs/>
        </w:rPr>
        <w:t xml:space="preserve">la PDND favorisce l</w:t>
      </w:r>
      <w:r>
        <w:rPr>
          <w:rFonts w:ascii="Arial" w:hAnsi="Arial" w:cs="Arial"/>
          <w:bCs/>
        </w:rPr>
        <w:t xml:space="preserve">’</w:t>
      </w:r>
      <w:r>
        <w:rPr>
          <w:rFonts w:ascii="Arial" w:hAnsi="Arial" w:cs="Arial"/>
          <w:bCs/>
        </w:rPr>
        <w:t xml:space="preserve">interoperabilità dei sistemi informativi e delle basi di dati delle Pubbliche Amministrazioni e dei gestori di servizi pubblici. Il livello di interoperabilità proposto dalla PDND è attuabile mediante l</w:t>
      </w:r>
      <w:r>
        <w:rPr>
          <w:rFonts w:ascii="Arial" w:hAnsi="Arial" w:cs="Arial"/>
          <w:bCs/>
        </w:rPr>
        <w:t xml:space="preserve">’</w:t>
      </w:r>
      <w:r>
        <w:rPr>
          <w:rFonts w:ascii="Arial" w:hAnsi="Arial" w:cs="Arial"/>
          <w:bCs/>
        </w:rPr>
        <w:t xml:space="preserve">accreditamento, l</w:t>
      </w:r>
      <w:r>
        <w:rPr>
          <w:rFonts w:ascii="Arial" w:hAnsi="Arial" w:cs="Arial"/>
          <w:bCs/>
        </w:rPr>
        <w:t xml:space="preserve">’</w:t>
      </w:r>
      <w:r>
        <w:rPr>
          <w:rFonts w:ascii="Arial" w:hAnsi="Arial" w:cs="Arial"/>
          <w:bCs/>
        </w:rPr>
        <w:t xml:space="preserve">identificazione e la gestione dei livelli di autorizzazione dei soggetti abilitati ad operare sulla stessa, nonché la raccolta e la conservazione delle informazioni relative agli accessi e alle transazioni effettuate per il suo tramite;</w:t>
      </w:r>
      <w:r/>
    </w:p>
    <w:p>
      <w:pPr>
        <w:pStyle w:val="755"/>
        <w:numPr>
          <w:ilvl w:val="0"/>
          <w:numId w:val="13"/>
        </w:numPr>
        <w:jc w:val="both"/>
        <w:spacing w:after="240" w:line="360" w:lineRule="auto"/>
        <w:rPr>
          <w:rFonts w:ascii="Arial" w:hAnsi="Arial" w:cs="Arial"/>
          <w:bCs/>
        </w:rPr>
      </w:pPr>
      <w:r>
        <w:rPr>
          <w:rFonts w:ascii="Arial" w:hAnsi="Arial" w:cs="Arial"/>
          <w:bCs/>
        </w:rPr>
        <w:t xml:space="preserve">l</w:t>
      </w:r>
      <w:r>
        <w:rPr>
          <w:rFonts w:ascii="Arial" w:hAnsi="Arial" w:cs="Arial"/>
          <w:bCs/>
        </w:rPr>
        <w:t xml:space="preserve">’</w:t>
      </w:r>
      <w:r>
        <w:rPr>
          <w:rFonts w:ascii="Arial" w:hAnsi="Arial" w:cs="Arial"/>
          <w:bCs/>
        </w:rPr>
        <w:t xml:space="preserve">accesso e l</w:t>
      </w:r>
      <w:r>
        <w:rPr>
          <w:rFonts w:ascii="Arial" w:hAnsi="Arial" w:cs="Arial"/>
          <w:bCs/>
        </w:rPr>
        <w:t xml:space="preserve">’</w:t>
      </w:r>
      <w:r>
        <w:rPr>
          <w:rFonts w:ascii="Arial" w:hAnsi="Arial" w:cs="Arial"/>
          <w:bCs/>
        </w:rPr>
        <w:t xml:space="preserve">utilizzo della PDND è </w:t>
      </w:r>
      <w:r>
        <w:rPr>
          <w:rFonts w:ascii="Arial" w:hAnsi="Arial" w:cs="Arial"/>
          <w:bCs/>
        </w:rPr>
        <w:t xml:space="preserve">effettuato tramite l</w:t>
      </w:r>
      <w:r>
        <w:rPr>
          <w:rFonts w:ascii="Arial" w:hAnsi="Arial" w:cs="Arial"/>
          <w:bCs/>
        </w:rPr>
        <w:t xml:space="preserve">’</w:t>
      </w:r>
      <w:r>
        <w:rPr>
          <w:rFonts w:ascii="Arial" w:hAnsi="Arial" w:cs="Arial"/>
          <w:bCs/>
        </w:rPr>
        <w:t xml:space="preserve">implementazione delle API (definite come un insieme di procedure, funzionalità e/o operazioni disponibili al programmatore, di solito raggruppate a formare un insieme di strumenti specifici per l</w:t>
      </w:r>
      <w:r>
        <w:rPr>
          <w:rFonts w:ascii="Arial" w:hAnsi="Arial" w:cs="Arial"/>
          <w:bCs/>
        </w:rPr>
        <w:t xml:space="preserve">’</w:t>
      </w:r>
      <w:r>
        <w:rPr>
          <w:rFonts w:ascii="Arial" w:hAnsi="Arial" w:cs="Arial"/>
          <w:bCs/>
        </w:rPr>
        <w:t xml:space="preserve">espletamento di un determinato compito);</w:t>
      </w:r>
      <w:r/>
    </w:p>
    <w:p>
      <w:pPr>
        <w:pStyle w:val="755"/>
        <w:numPr>
          <w:ilvl w:val="0"/>
          <w:numId w:val="13"/>
        </w:numPr>
        <w:jc w:val="both"/>
        <w:spacing w:after="240" w:line="360" w:lineRule="auto"/>
        <w:rPr>
          <w:rFonts w:ascii="Arial" w:hAnsi="Arial" w:cs="Arial"/>
          <w:bCs/>
        </w:rPr>
      </w:pPr>
      <w:r>
        <w:rPr>
          <w:rFonts w:ascii="Arial" w:hAnsi="Arial" w:cs="Arial"/>
          <w:bCs/>
        </w:rPr>
        <w:t xml:space="preserve">nel quadro del progetto di interoperabilità un</w:t>
      </w:r>
      <w:r>
        <w:rPr>
          <w:rFonts w:ascii="Arial" w:hAnsi="Arial" w:cs="Arial"/>
          <w:bCs/>
        </w:rPr>
        <w:t xml:space="preserve">’</w:t>
      </w:r>
      <w:r>
        <w:rPr>
          <w:rFonts w:ascii="Arial" w:hAnsi="Arial" w:cs="Arial"/>
          <w:bCs/>
        </w:rPr>
        <w:t xml:space="preserve">API è un</w:t>
      </w:r>
      <w:r>
        <w:rPr>
          <w:rFonts w:ascii="Arial" w:hAnsi="Arial" w:cs="Arial"/>
          <w:bCs/>
        </w:rPr>
        <w:t xml:space="preserve">’</w:t>
      </w:r>
      <w:r>
        <w:rPr>
          <w:rFonts w:ascii="Arial" w:hAnsi="Arial" w:cs="Arial"/>
          <w:bCs/>
        </w:rPr>
        <w:t xml:space="preserve">interfaccia applicativa che:</w:t>
      </w:r>
      <w:r/>
    </w:p>
    <w:p>
      <w:pPr>
        <w:pStyle w:val="755"/>
        <w:numPr>
          <w:ilvl w:val="1"/>
          <w:numId w:val="13"/>
        </w:numPr>
        <w:jc w:val="both"/>
        <w:spacing w:after="240" w:line="360" w:lineRule="auto"/>
        <w:rPr>
          <w:rFonts w:ascii="Arial" w:hAnsi="Arial" w:cs="Arial"/>
          <w:bCs/>
        </w:rPr>
      </w:pPr>
      <w:r>
        <w:rPr>
          <w:rFonts w:ascii="Arial" w:hAnsi="Arial" w:cs="Arial"/>
          <w:bCs/>
        </w:rPr>
        <w:t xml:space="preserve">è identificata nel Catalogo API dalla sua documentazione secondo gli standard previsti;</w:t>
      </w:r>
      <w:r/>
    </w:p>
    <w:p>
      <w:pPr>
        <w:pStyle w:val="755"/>
        <w:numPr>
          <w:ilvl w:val="1"/>
          <w:numId w:val="13"/>
        </w:numPr>
        <w:jc w:val="both"/>
        <w:spacing w:after="240" w:line="360" w:lineRule="auto"/>
        <w:rPr>
          <w:rFonts w:ascii="Arial" w:hAnsi="Arial" w:cs="Arial"/>
          <w:bCs/>
        </w:rPr>
      </w:pPr>
      <w:r>
        <w:rPr>
          <w:rFonts w:ascii="Arial" w:hAnsi="Arial" w:cs="Arial"/>
          <w:bCs/>
        </w:rPr>
        <w:t xml:space="preserve">è identificata nel catalogo API dal riferimento del suo punto di erogazione principale;</w:t>
      </w:r>
      <w:r/>
    </w:p>
    <w:p>
      <w:pPr>
        <w:pStyle w:val="755"/>
        <w:numPr>
          <w:ilvl w:val="1"/>
          <w:numId w:val="13"/>
        </w:numPr>
        <w:jc w:val="both"/>
        <w:spacing w:after="240" w:line="360" w:lineRule="auto"/>
        <w:rPr>
          <w:rFonts w:ascii="Arial" w:hAnsi="Arial" w:cs="Arial"/>
          <w:bCs/>
        </w:rPr>
      </w:pPr>
      <w:r>
        <w:rPr>
          <w:rFonts w:ascii="Arial" w:hAnsi="Arial" w:cs="Arial"/>
          <w:bCs/>
        </w:rPr>
        <w:t xml:space="preserve">rispetta le cornici di sicurezza indicate nelle linee guida Linee Guida Tecnologie e standard per assicurare la sicurezza dell</w:t>
      </w:r>
      <w:r>
        <w:rPr>
          <w:rFonts w:ascii="Arial" w:hAnsi="Arial" w:cs="Arial"/>
          <w:bCs/>
        </w:rPr>
        <w:t xml:space="preserve">’</w:t>
      </w:r>
      <w:r>
        <w:rPr>
          <w:rFonts w:ascii="Arial" w:hAnsi="Arial" w:cs="Arial"/>
          <w:bCs/>
        </w:rPr>
        <w:t xml:space="preserve">interoperabilità tramite API dei sistemi informatici;</w:t>
      </w:r>
      <w:r/>
    </w:p>
    <w:p>
      <w:pPr>
        <w:jc w:val="both"/>
        <w:spacing w:after="240" w:line="360" w:lineRule="auto"/>
        <w:rPr>
          <w:rFonts w:ascii="Arial" w:hAnsi="Arial" w:cs="Arial"/>
          <w:bCs/>
        </w:rPr>
      </w:pPr>
      <w:r>
        <w:rPr>
          <w:rFonts w:ascii="Arial" w:hAnsi="Arial" w:cs="Arial"/>
          <w:bCs/>
        </w:rPr>
        <w:t xml:space="preserve">Preso atto che:</w:t>
      </w:r>
      <w:r/>
    </w:p>
    <w:p>
      <w:pPr>
        <w:pStyle w:val="755"/>
        <w:numPr>
          <w:ilvl w:val="0"/>
          <w:numId w:val="14"/>
        </w:numPr>
        <w:jc w:val="both"/>
        <w:spacing w:after="240" w:line="360" w:lineRule="auto"/>
        <w:rPr>
          <w:rFonts w:ascii="Arial" w:hAnsi="Arial" w:cs="Arial"/>
          <w:bCs/>
        </w:rPr>
      </w:pPr>
      <w:r>
        <w:rPr>
          <w:rFonts w:ascii="Arial" w:hAnsi="Arial" w:cs="Arial"/>
          <w:bCs/>
        </w:rPr>
        <w:t xml:space="preserve">il </w:t>
      </w:r>
      <w:r>
        <w:rPr>
          <w:rFonts w:ascii="Arial" w:hAnsi="Arial" w:cs="Arial"/>
          <w:bCs/>
        </w:rPr>
        <w:t xml:space="preserve">Ministero per l</w:t>
      </w:r>
      <w:r>
        <w:rPr>
          <w:rFonts w:ascii="Arial" w:hAnsi="Arial" w:cs="Arial"/>
          <w:bCs/>
        </w:rPr>
        <w:t xml:space="preserve">’</w:t>
      </w:r>
      <w:r>
        <w:rPr>
          <w:rFonts w:ascii="Arial" w:hAnsi="Arial" w:cs="Arial"/>
          <w:bCs/>
        </w:rPr>
        <w:t xml:space="preserve">innovazione</w:t>
      </w:r>
      <w:r>
        <w:rPr>
          <w:rFonts w:ascii="Arial" w:hAnsi="Arial" w:cs="Arial"/>
          <w:bCs/>
        </w:rPr>
        <w:t xml:space="preserve"> </w:t>
      </w:r>
      <w:r>
        <w:rPr>
          <w:rFonts w:ascii="Arial" w:hAnsi="Arial" w:cs="Arial"/>
          <w:bCs/>
        </w:rPr>
        <w:t xml:space="preserve">tecnologica e la transizione digitale (MITD) </w:t>
      </w:r>
      <w:r>
        <w:rPr>
          <w:rFonts w:ascii="Arial" w:hAnsi="Arial" w:cs="Arial"/>
          <w:bCs/>
        </w:rPr>
        <w:t xml:space="preserve">ha </w:t>
      </w:r>
      <w:r>
        <w:rPr>
          <w:rFonts w:ascii="Arial" w:hAnsi="Arial" w:cs="Arial"/>
          <w:bCs/>
        </w:rPr>
        <w:t xml:space="preserve">invitato i Comuni italiani a presentare </w:t>
      </w:r>
      <w:r>
        <w:rPr>
          <w:rFonts w:ascii="Arial" w:hAnsi="Arial" w:cs="Arial"/>
          <w:bCs/>
        </w:rPr>
        <w:t xml:space="preserve">domanda di partecipazione all</w:t>
      </w:r>
      <w:r>
        <w:rPr>
          <w:rFonts w:ascii="Arial" w:hAnsi="Arial" w:cs="Arial"/>
          <w:bCs/>
        </w:rPr>
        <w:t xml:space="preserve">’</w:t>
      </w:r>
      <w:r>
        <w:rPr>
          <w:rFonts w:ascii="Arial" w:hAnsi="Arial" w:cs="Arial"/>
          <w:bCs/>
        </w:rPr>
        <w:t xml:space="preserve">avviso pubblico del Piano nazionale di ripresa e resilienza – Missione 1 – Componente 1 – Investimento 1.</w:t>
      </w:r>
      <w:r>
        <w:rPr>
          <w:rFonts w:ascii="Arial" w:hAnsi="Arial" w:cs="Arial"/>
          <w:bCs/>
        </w:rPr>
        <w:t xml:space="preserve">3</w:t>
      </w:r>
      <w:r>
        <w:rPr>
          <w:rFonts w:ascii="Arial" w:hAnsi="Arial" w:cs="Arial"/>
          <w:bCs/>
        </w:rPr>
        <w:t xml:space="preserve"> “</w:t>
      </w:r>
      <w:r>
        <w:rPr>
          <w:rFonts w:ascii="Arial" w:hAnsi="Arial" w:cs="Arial"/>
          <w:bCs/>
        </w:rPr>
        <w:t xml:space="preserve">Dati e interoperabilità</w:t>
      </w:r>
      <w:r>
        <w:rPr>
          <w:rFonts w:ascii="Arial" w:hAnsi="Arial" w:cs="Arial"/>
          <w:bCs/>
        </w:rPr>
        <w:t xml:space="preserve">” – Misura 1.</w:t>
      </w:r>
      <w:r>
        <w:rPr>
          <w:rFonts w:ascii="Arial" w:hAnsi="Arial" w:cs="Arial"/>
          <w:bCs/>
        </w:rPr>
        <w:t xml:space="preserve">3</w:t>
      </w:r>
      <w:r>
        <w:rPr>
          <w:rFonts w:ascii="Arial" w:hAnsi="Arial" w:cs="Arial"/>
          <w:bCs/>
        </w:rPr>
        <w:t xml:space="preserve">.</w:t>
      </w:r>
      <w:r>
        <w:rPr>
          <w:rFonts w:ascii="Arial" w:hAnsi="Arial" w:cs="Arial"/>
          <w:bCs/>
        </w:rPr>
        <w:t xml:space="preserve">1</w:t>
      </w:r>
      <w:r>
        <w:rPr>
          <w:rFonts w:ascii="Arial" w:hAnsi="Arial" w:cs="Arial"/>
          <w:bCs/>
        </w:rPr>
        <w:t xml:space="preserve"> “</w:t>
      </w:r>
      <w:r>
        <w:rPr>
          <w:rFonts w:ascii="Arial" w:hAnsi="Arial" w:cs="Arial"/>
          <w:bCs/>
        </w:rPr>
        <w:t xml:space="preserve">Piattaforma digitale Nazionale Dati</w:t>
      </w:r>
      <w:r>
        <w:rPr>
          <w:rFonts w:ascii="Arial" w:hAnsi="Arial" w:cs="Arial"/>
          <w:bCs/>
        </w:rPr>
        <w:t xml:space="preserve">” Comuni finanziato dall</w:t>
      </w:r>
      <w:r>
        <w:rPr>
          <w:rFonts w:ascii="Arial" w:hAnsi="Arial" w:cs="Arial"/>
          <w:bCs/>
        </w:rPr>
        <w:t xml:space="preserve">’</w:t>
      </w:r>
      <w:r>
        <w:rPr>
          <w:rFonts w:ascii="Arial" w:hAnsi="Arial" w:cs="Arial"/>
          <w:bCs/>
        </w:rPr>
        <w:t xml:space="preserve">Unione Europea – NextGenerationEU;</w:t>
      </w:r>
      <w:r/>
    </w:p>
    <w:p>
      <w:pPr>
        <w:pStyle w:val="755"/>
        <w:numPr>
          <w:ilvl w:val="0"/>
          <w:numId w:val="14"/>
        </w:numPr>
        <w:jc w:val="both"/>
        <w:spacing w:after="240" w:line="360" w:lineRule="auto"/>
        <w:rPr>
          <w:rFonts w:ascii="Arial" w:hAnsi="Arial" w:cs="Arial"/>
          <w:bCs/>
        </w:rPr>
      </w:pPr>
      <w:r>
        <w:rPr>
          <w:rFonts w:ascii="Arial" w:hAnsi="Arial" w:cs="Arial"/>
          <w:bCs/>
        </w:rPr>
        <w:t xml:space="preserve">l</w:t>
      </w:r>
      <w:r>
        <w:rPr>
          <w:rFonts w:ascii="Arial" w:hAnsi="Arial" w:cs="Arial"/>
          <w:bCs/>
        </w:rPr>
        <w:t xml:space="preserve">’</w:t>
      </w:r>
      <w:r>
        <w:rPr>
          <w:rFonts w:ascii="Arial" w:hAnsi="Arial" w:cs="Arial"/>
          <w:bCs/>
        </w:rPr>
        <w:t xml:space="preserve">obiettivo </w:t>
      </w:r>
      <w:r>
        <w:rPr>
          <w:rFonts w:ascii="Arial" w:hAnsi="Arial" w:cs="Arial"/>
          <w:bCs/>
        </w:rPr>
        <w:t xml:space="preserve">previst</w:t>
      </w:r>
      <w:r>
        <w:rPr>
          <w:rFonts w:ascii="Arial" w:hAnsi="Arial" w:cs="Arial"/>
          <w:bCs/>
        </w:rPr>
        <w:t xml:space="preserve">o </w:t>
      </w:r>
      <w:r>
        <w:rPr>
          <w:rFonts w:ascii="Arial" w:hAnsi="Arial" w:cs="Arial"/>
          <w:bCs/>
        </w:rPr>
        <w:t xml:space="preserve">per la Mi</w:t>
      </w:r>
      <w:r>
        <w:rPr>
          <w:rFonts w:ascii="Arial" w:hAnsi="Arial" w:cs="Arial"/>
          <w:bCs/>
        </w:rPr>
        <w:t xml:space="preserve">sura 1.</w:t>
      </w:r>
      <w:r>
        <w:rPr>
          <w:rFonts w:ascii="Arial" w:hAnsi="Arial" w:cs="Arial"/>
          <w:bCs/>
        </w:rPr>
        <w:t xml:space="preserve">3</w:t>
      </w:r>
      <w:r>
        <w:rPr>
          <w:rFonts w:ascii="Arial" w:hAnsi="Arial" w:cs="Arial"/>
          <w:bCs/>
        </w:rPr>
        <w:t xml:space="preserve">.</w:t>
      </w:r>
      <w:r>
        <w:rPr>
          <w:rFonts w:ascii="Arial" w:hAnsi="Arial" w:cs="Arial"/>
          <w:bCs/>
        </w:rPr>
        <w:t xml:space="preserve">1</w:t>
      </w:r>
      <w:r>
        <w:rPr>
          <w:rFonts w:ascii="Arial" w:hAnsi="Arial" w:cs="Arial"/>
          <w:bCs/>
        </w:rPr>
        <w:t xml:space="preserve"> (milestone e target europei) è </w:t>
      </w:r>
      <w:r>
        <w:rPr>
          <w:rFonts w:ascii="Arial" w:hAnsi="Arial" w:cs="Arial"/>
          <w:bCs/>
        </w:rPr>
        <w:t xml:space="preserve">una maggiore </w:t>
      </w:r>
      <w:r>
        <w:rPr>
          <w:rFonts w:ascii="Arial" w:hAnsi="Arial" w:cs="Arial"/>
          <w:bCs/>
        </w:rPr>
        <w:t xml:space="preserve">erogazione di API nel Catalogo API PDND da parte dei Comuni</w:t>
      </w:r>
      <w:r>
        <w:rPr>
          <w:rFonts w:ascii="Arial" w:hAnsi="Arial" w:cs="Arial"/>
          <w:bCs/>
        </w:rPr>
        <w:t xml:space="preserve">;</w:t>
      </w:r>
      <w:r/>
    </w:p>
    <w:p>
      <w:pPr>
        <w:pStyle w:val="755"/>
        <w:numPr>
          <w:ilvl w:val="0"/>
          <w:numId w:val="14"/>
        </w:numPr>
        <w:jc w:val="both"/>
        <w:spacing w:after="240" w:line="360" w:lineRule="auto"/>
        <w:rPr>
          <w:rFonts w:ascii="Arial" w:hAnsi="Arial" w:cs="Arial"/>
          <w:bCs/>
        </w:rPr>
      </w:pPr>
      <w:r>
        <w:rPr>
          <w:rFonts w:ascii="Arial" w:hAnsi="Arial" w:cs="Arial"/>
          <w:bCs/>
        </w:rPr>
        <w:t xml:space="preserve">lo specifico obiettivo del bando</w:t>
      </w:r>
      <w:r>
        <w:rPr>
          <w:rFonts w:ascii="Arial" w:hAnsi="Arial" w:cs="Arial"/>
          <w:bCs/>
        </w:rPr>
        <w:t xml:space="preserve"> è l</w:t>
      </w:r>
      <w:r>
        <w:rPr>
          <w:rFonts w:ascii="Arial" w:hAnsi="Arial" w:cs="Arial"/>
          <w:bCs/>
        </w:rPr>
        <w:t xml:space="preserve">’</w:t>
      </w:r>
      <w:r>
        <w:rPr>
          <w:rFonts w:ascii="Arial" w:hAnsi="Arial" w:cs="Arial"/>
          <w:bCs/>
        </w:rPr>
        <w:t xml:space="preserve">erogazione di API nel Catalogo API PDND da parte dei Comuni</w:t>
      </w:r>
      <w:r>
        <w:rPr>
          <w:rFonts w:ascii="Arial" w:hAnsi="Arial" w:cs="Arial"/>
          <w:bCs/>
        </w:rPr>
        <w:t xml:space="preserve"> di</w:t>
      </w:r>
      <w:r>
        <w:rPr>
          <w:rFonts w:ascii="Arial" w:hAnsi="Arial" w:cs="Arial"/>
          <w:bCs/>
        </w:rPr>
        <w:t xml:space="preserve">:</w:t>
      </w:r>
      <w:r/>
    </w:p>
    <w:p>
      <w:pPr>
        <w:pStyle w:val="755"/>
        <w:numPr>
          <w:ilvl w:val="1"/>
          <w:numId w:val="15"/>
        </w:numPr>
        <w:jc w:val="both"/>
        <w:spacing w:after="240" w:line="360" w:lineRule="auto"/>
        <w:rPr>
          <w:rFonts w:ascii="Arial" w:hAnsi="Arial" w:cs="Arial"/>
          <w:bCs/>
        </w:rPr>
      </w:pPr>
      <w:r>
        <w:rPr>
          <w:rFonts w:ascii="Arial" w:hAnsi="Arial" w:cs="Arial"/>
          <w:bCs/>
        </w:rPr>
        <w:t xml:space="preserve">1 API </w:t>
      </w:r>
      <w:r>
        <w:rPr>
          <w:rFonts w:ascii="Arial" w:hAnsi="Arial" w:cs="Arial"/>
          <w:bCs/>
        </w:rPr>
        <w:t xml:space="preserve">per i Comuni fino a </w:t>
      </w:r>
      <w:r>
        <w:rPr>
          <w:rFonts w:ascii="Arial" w:hAnsi="Arial" w:cs="Arial"/>
          <w:bCs/>
        </w:rPr>
        <w:t xml:space="preserve">2</w:t>
      </w:r>
      <w:r>
        <w:rPr>
          <w:rFonts w:ascii="Arial" w:hAnsi="Arial" w:cs="Arial"/>
          <w:bCs/>
        </w:rPr>
        <w:t xml:space="preserve">.</w:t>
      </w:r>
      <w:r>
        <w:rPr>
          <w:rFonts w:ascii="Arial" w:hAnsi="Arial" w:cs="Arial"/>
          <w:bCs/>
        </w:rPr>
        <w:t xml:space="preserve">5</w:t>
      </w:r>
      <w:r>
        <w:rPr>
          <w:rFonts w:ascii="Arial" w:hAnsi="Arial" w:cs="Arial"/>
          <w:bCs/>
        </w:rPr>
        <w:t xml:space="preserve">00 abitanti;</w:t>
      </w:r>
      <w:r/>
    </w:p>
    <w:p>
      <w:pPr>
        <w:pStyle w:val="755"/>
        <w:numPr>
          <w:ilvl w:val="1"/>
          <w:numId w:val="15"/>
        </w:numPr>
        <w:jc w:val="both"/>
        <w:spacing w:after="240" w:line="360" w:lineRule="auto"/>
        <w:rPr>
          <w:rFonts w:ascii="Arial" w:hAnsi="Arial" w:cs="Arial"/>
          <w:bCs/>
        </w:rPr>
      </w:pPr>
      <w:r>
        <w:rPr>
          <w:rFonts w:ascii="Arial" w:hAnsi="Arial" w:cs="Arial"/>
          <w:bCs/>
        </w:rPr>
        <w:t xml:space="preserve">1 API per i Comuni 2.501 – 5.000 abitanti;</w:t>
      </w:r>
      <w:r/>
    </w:p>
    <w:p>
      <w:pPr>
        <w:pStyle w:val="755"/>
        <w:numPr>
          <w:ilvl w:val="1"/>
          <w:numId w:val="15"/>
        </w:numPr>
        <w:jc w:val="both"/>
        <w:spacing w:after="240" w:line="360" w:lineRule="auto"/>
        <w:rPr>
          <w:rFonts w:ascii="Arial" w:hAnsi="Arial" w:cs="Arial"/>
          <w:bCs/>
        </w:rPr>
      </w:pPr>
      <w:r>
        <w:rPr>
          <w:rFonts w:ascii="Arial" w:hAnsi="Arial" w:cs="Arial"/>
          <w:bCs/>
        </w:rPr>
        <w:t xml:space="preserve">2</w:t>
      </w:r>
      <w:r>
        <w:rPr>
          <w:rFonts w:ascii="Arial" w:hAnsi="Arial" w:cs="Arial"/>
          <w:bCs/>
        </w:rPr>
        <w:t xml:space="preserve"> </w:t>
      </w:r>
      <w:r>
        <w:rPr>
          <w:rFonts w:ascii="Arial" w:hAnsi="Arial" w:cs="Arial"/>
          <w:bCs/>
        </w:rPr>
        <w:t xml:space="preserve">API </w:t>
      </w:r>
      <w:r>
        <w:rPr>
          <w:rFonts w:ascii="Arial" w:hAnsi="Arial" w:cs="Arial"/>
          <w:bCs/>
        </w:rPr>
        <w:t xml:space="preserve">per i Comuni 5.001 - 20.000 abitanti;</w:t>
      </w:r>
      <w:r/>
    </w:p>
    <w:p>
      <w:pPr>
        <w:pStyle w:val="755"/>
        <w:numPr>
          <w:ilvl w:val="1"/>
          <w:numId w:val="15"/>
        </w:numPr>
        <w:jc w:val="both"/>
        <w:spacing w:after="240" w:line="360" w:lineRule="auto"/>
        <w:rPr>
          <w:rFonts w:ascii="Arial" w:hAnsi="Arial" w:cs="Arial"/>
          <w:bCs/>
        </w:rPr>
      </w:pPr>
      <w:r>
        <w:rPr>
          <w:rFonts w:ascii="Arial" w:hAnsi="Arial" w:cs="Arial"/>
          <w:bCs/>
        </w:rPr>
        <w:t xml:space="preserve">3 API per i Comuni 20.001 - 50.000 abitanti;</w:t>
      </w:r>
      <w:r/>
    </w:p>
    <w:p>
      <w:pPr>
        <w:pStyle w:val="755"/>
        <w:numPr>
          <w:ilvl w:val="1"/>
          <w:numId w:val="15"/>
        </w:numPr>
        <w:jc w:val="both"/>
        <w:spacing w:after="240" w:line="360" w:lineRule="auto"/>
        <w:rPr>
          <w:rFonts w:ascii="Arial" w:hAnsi="Arial" w:cs="Arial"/>
          <w:bCs/>
        </w:rPr>
      </w:pPr>
      <w:r>
        <w:rPr>
          <w:rFonts w:ascii="Arial" w:hAnsi="Arial" w:cs="Arial"/>
          <w:bCs/>
        </w:rPr>
        <w:t xml:space="preserve">4</w:t>
      </w:r>
      <w:r>
        <w:rPr>
          <w:rFonts w:ascii="Arial" w:hAnsi="Arial" w:cs="Arial"/>
          <w:bCs/>
        </w:rPr>
        <w:t xml:space="preserve"> </w:t>
      </w:r>
      <w:r>
        <w:rPr>
          <w:rFonts w:ascii="Arial" w:hAnsi="Arial" w:cs="Arial"/>
          <w:bCs/>
        </w:rPr>
        <w:t xml:space="preserve">API </w:t>
      </w:r>
      <w:r>
        <w:rPr>
          <w:rFonts w:ascii="Arial" w:hAnsi="Arial" w:cs="Arial"/>
          <w:bCs/>
        </w:rPr>
        <w:t xml:space="preserve">per i Comuni </w:t>
      </w:r>
      <w:r>
        <w:rPr>
          <w:rFonts w:ascii="Arial" w:hAnsi="Arial" w:cs="Arial"/>
          <w:bCs/>
        </w:rPr>
        <w:t xml:space="preserve">50</w:t>
      </w:r>
      <w:r>
        <w:rPr>
          <w:rFonts w:ascii="Arial" w:hAnsi="Arial" w:cs="Arial"/>
          <w:bCs/>
        </w:rPr>
        <w:t xml:space="preserve">.001 - 100.000 abitanti;</w:t>
      </w:r>
      <w:r/>
    </w:p>
    <w:p>
      <w:pPr>
        <w:pStyle w:val="755"/>
        <w:numPr>
          <w:ilvl w:val="1"/>
          <w:numId w:val="15"/>
        </w:numPr>
        <w:jc w:val="both"/>
        <w:spacing w:after="240" w:line="360" w:lineRule="auto"/>
        <w:rPr>
          <w:rFonts w:ascii="Arial" w:hAnsi="Arial" w:cs="Arial"/>
          <w:bCs/>
        </w:rPr>
      </w:pPr>
      <w:r>
        <w:rPr>
          <w:rFonts w:ascii="Arial" w:hAnsi="Arial" w:cs="Arial"/>
          <w:bCs/>
        </w:rPr>
        <w:t xml:space="preserve">5</w:t>
      </w:r>
      <w:r>
        <w:rPr>
          <w:rFonts w:ascii="Arial" w:hAnsi="Arial" w:cs="Arial"/>
          <w:bCs/>
        </w:rPr>
        <w:t xml:space="preserve"> </w:t>
      </w:r>
      <w:r>
        <w:rPr>
          <w:rFonts w:ascii="Arial" w:hAnsi="Arial" w:cs="Arial"/>
          <w:bCs/>
        </w:rPr>
        <w:t xml:space="preserve">API </w:t>
      </w:r>
      <w:r>
        <w:rPr>
          <w:rFonts w:ascii="Arial" w:hAnsi="Arial" w:cs="Arial"/>
          <w:bCs/>
        </w:rPr>
        <w:t xml:space="preserve">per i Comuni 100.001 - 250.000 abitanti;</w:t>
      </w:r>
      <w:r/>
    </w:p>
    <w:p>
      <w:pPr>
        <w:pStyle w:val="755"/>
        <w:numPr>
          <w:ilvl w:val="1"/>
          <w:numId w:val="15"/>
        </w:numPr>
        <w:jc w:val="both"/>
        <w:spacing w:after="240" w:line="360" w:lineRule="auto"/>
        <w:rPr>
          <w:rFonts w:ascii="Arial" w:hAnsi="Arial" w:cs="Arial"/>
          <w:bCs/>
        </w:rPr>
      </w:pPr>
      <w:r>
        <w:rPr>
          <w:rFonts w:ascii="Arial" w:hAnsi="Arial" w:cs="Arial"/>
          <w:bCs/>
        </w:rPr>
        <w:t xml:space="preserve">6</w:t>
      </w:r>
      <w:r>
        <w:rPr>
          <w:rFonts w:ascii="Arial" w:hAnsi="Arial" w:cs="Arial"/>
          <w:bCs/>
        </w:rPr>
        <w:t xml:space="preserve"> servizi per i Comuni &gt; 250.000 abitanti;</w:t>
      </w:r>
      <w:r/>
    </w:p>
    <w:p>
      <w:pPr>
        <w:jc w:val="both"/>
        <w:spacing w:after="240" w:line="360" w:lineRule="auto"/>
        <w:rPr>
          <w:rFonts w:ascii="Arial" w:hAnsi="Arial" w:cs="Arial"/>
          <w:bCs/>
        </w:rPr>
      </w:pPr>
      <w:r>
        <w:rPr>
          <w:rFonts w:ascii="Arial" w:hAnsi="Arial" w:cs="Arial"/>
          <w:bCs/>
        </w:rPr>
        <w:t xml:space="preserve">Ricordato</w:t>
      </w:r>
      <w:r>
        <w:rPr>
          <w:rFonts w:ascii="Arial" w:hAnsi="Arial" w:cs="Arial"/>
          <w:bCs/>
        </w:rPr>
        <w:t xml:space="preserve"> che l</w:t>
      </w:r>
      <w:r>
        <w:rPr>
          <w:rFonts w:ascii="Arial" w:hAnsi="Arial" w:cs="Arial"/>
          <w:bCs/>
        </w:rPr>
        <w:t xml:space="preserve">’</w:t>
      </w:r>
      <w:r>
        <w:rPr>
          <w:rFonts w:ascii="Arial" w:hAnsi="Arial" w:cs="Arial"/>
          <w:bCs/>
        </w:rPr>
        <w:t xml:space="preserve">avviso ministeriale prevede:</w:t>
      </w:r>
      <w:r/>
    </w:p>
    <w:p>
      <w:pPr>
        <w:pStyle w:val="755"/>
        <w:numPr>
          <w:ilvl w:val="0"/>
          <w:numId w:val="10"/>
        </w:numPr>
        <w:jc w:val="both"/>
        <w:spacing w:after="240" w:line="360" w:lineRule="auto"/>
        <w:rPr>
          <w:rFonts w:ascii="Arial" w:hAnsi="Arial" w:cs="Arial"/>
          <w:bCs/>
        </w:rPr>
      </w:pPr>
      <w:r>
        <w:rPr>
          <w:rFonts w:ascii="Arial" w:hAnsi="Arial" w:cs="Arial"/>
          <w:bCs/>
        </w:rPr>
        <w:t xml:space="preserve">il riconoscimento ai Comuni di un</w:t>
      </w:r>
      <w:r>
        <w:rPr>
          <w:rFonts w:ascii="Arial" w:hAnsi="Arial" w:cs="Arial"/>
          <w:bCs/>
        </w:rPr>
        <w:t xml:space="preserve"> </w:t>
      </w:r>
      <w:r>
        <w:rPr>
          <w:rFonts w:ascii="Arial" w:hAnsi="Arial" w:cs="Arial"/>
          <w:bCs/>
        </w:rPr>
        <w:t xml:space="preserve">importo forfettario (</w:t>
      </w:r>
      <w:r>
        <w:rPr>
          <w:rFonts w:ascii="Arial" w:hAnsi="Arial" w:cs="Arial"/>
          <w:bCs/>
          <w:i/>
          <w:iCs/>
        </w:rPr>
        <w:t xml:space="preserve">lump sum</w:t>
      </w:r>
      <w:r>
        <w:rPr>
          <w:rFonts w:ascii="Arial" w:hAnsi="Arial" w:cs="Arial"/>
          <w:bCs/>
        </w:rPr>
        <w:t xml:space="preserve">) determinato in funzione</w:t>
      </w:r>
      <w:r>
        <w:rPr>
          <w:rFonts w:ascii="Arial" w:hAnsi="Arial" w:cs="Arial"/>
          <w:bCs/>
        </w:rPr>
        <w:t xml:space="preserve"> </w:t>
      </w:r>
      <w:r>
        <w:rPr>
          <w:rFonts w:ascii="Arial" w:hAnsi="Arial" w:cs="Arial"/>
          <w:bCs/>
        </w:rPr>
        <w:t xml:space="preserve">del numero di </w:t>
      </w:r>
      <w:r>
        <w:rPr>
          <w:rFonts w:ascii="Arial" w:hAnsi="Arial" w:cs="Arial"/>
          <w:bCs/>
        </w:rPr>
        <w:t xml:space="preserve">API inseri</w:t>
      </w:r>
      <w:r>
        <w:rPr>
          <w:rFonts w:ascii="Arial" w:hAnsi="Arial" w:cs="Arial"/>
          <w:bCs/>
        </w:rPr>
        <w:t xml:space="preserve">t</w:t>
      </w:r>
      <w:r>
        <w:rPr>
          <w:rFonts w:ascii="Arial" w:hAnsi="Arial" w:cs="Arial"/>
          <w:bCs/>
        </w:rPr>
        <w:t xml:space="preserve">e nel Catalogo della PDND</w:t>
      </w:r>
      <w:r>
        <w:rPr>
          <w:rFonts w:ascii="Arial" w:hAnsi="Arial" w:cs="Arial"/>
          <w:bCs/>
        </w:rPr>
        <w:t xml:space="preserve">;</w:t>
      </w:r>
      <w:r/>
    </w:p>
    <w:p>
      <w:pPr>
        <w:pStyle w:val="755"/>
        <w:numPr>
          <w:ilvl w:val="0"/>
          <w:numId w:val="10"/>
        </w:numPr>
        <w:jc w:val="both"/>
        <w:spacing w:after="240" w:line="360" w:lineRule="auto"/>
        <w:rPr>
          <w:rFonts w:ascii="Arial" w:hAnsi="Arial" w:cs="Arial"/>
          <w:bCs/>
        </w:rPr>
      </w:pPr>
      <w:r>
        <w:rPr>
          <w:rFonts w:ascii="Arial" w:hAnsi="Arial" w:cs="Arial"/>
          <w:bCs/>
        </w:rPr>
        <w:t xml:space="preserve">l</w:t>
      </w:r>
      <w:r>
        <w:rPr>
          <w:rFonts w:ascii="Arial" w:hAnsi="Arial" w:cs="Arial"/>
          <w:bCs/>
        </w:rPr>
        <w:t xml:space="preserve">’</w:t>
      </w:r>
      <w:r>
        <w:rPr>
          <w:rFonts w:ascii="Arial" w:hAnsi="Arial" w:cs="Arial"/>
          <w:bCs/>
        </w:rPr>
        <w:t xml:space="preserve">erogazione </w:t>
      </w:r>
      <w:r>
        <w:rPr>
          <w:rFonts w:ascii="Arial" w:hAnsi="Arial" w:cs="Arial"/>
          <w:bCs/>
        </w:rPr>
        <w:t xml:space="preserve">del contributo forfettario </w:t>
      </w:r>
      <w:r>
        <w:rPr>
          <w:rFonts w:ascii="Arial" w:hAnsi="Arial" w:cs="Arial"/>
          <w:bCs/>
        </w:rPr>
        <w:t xml:space="preserve">in un</w:t>
      </w:r>
      <w:r>
        <w:rPr>
          <w:rFonts w:ascii="Arial" w:hAnsi="Arial" w:cs="Arial"/>
          <w:bCs/>
        </w:rPr>
        <w:t xml:space="preserve">’</w:t>
      </w:r>
      <w:r>
        <w:rPr>
          <w:rFonts w:ascii="Arial" w:hAnsi="Arial" w:cs="Arial"/>
          <w:bCs/>
        </w:rPr>
        <w:t xml:space="preserve">unica soluzione a seguito del perfezionament</w:t>
      </w:r>
      <w:r>
        <w:rPr>
          <w:rFonts w:ascii="Arial" w:hAnsi="Arial" w:cs="Arial"/>
          <w:bCs/>
        </w:rPr>
        <w:t xml:space="preserve">o</w:t>
      </w:r>
      <w:r>
        <w:rPr>
          <w:rFonts w:ascii="Arial" w:hAnsi="Arial" w:cs="Arial"/>
          <w:bCs/>
        </w:rPr>
        <w:t xml:space="preserve"> delle attività </w:t>
      </w:r>
      <w:r>
        <w:rPr>
          <w:rFonts w:ascii="Arial" w:hAnsi="Arial" w:cs="Arial"/>
          <w:bCs/>
        </w:rPr>
        <w:t xml:space="preserve">richieste ed esclusi</w:t>
      </w:r>
      <w:r>
        <w:rPr>
          <w:rFonts w:ascii="Arial" w:hAnsi="Arial" w:cs="Arial"/>
          <w:bCs/>
        </w:rPr>
        <w:t xml:space="preserve">vamente nel caso in cui l’ente abbia rispettato quanto indicato in fase di adesione, ossia abbia completato il processo di onboarding ed erogazione del numero di servizi come indicato nel paragrafo C, ovvero abbia pubblicato le API sul catalogo della PDND;</w:t>
      </w:r>
      <w:r/>
    </w:p>
    <w:p>
      <w:pPr>
        <w:jc w:val="both"/>
        <w:spacing w:after="240" w:line="360" w:lineRule="auto"/>
        <w:rPr>
          <w:rFonts w:ascii="Arial" w:hAnsi="Arial" w:cs="Arial"/>
          <w:bCs/>
        </w:rPr>
      </w:pPr>
      <w:r>
        <w:rPr>
          <w:rFonts w:ascii="Arial" w:hAnsi="Arial" w:cs="Arial"/>
          <w:bCs/>
        </w:rPr>
        <w:t xml:space="preserve">Considerato </w:t>
      </w:r>
      <w:r>
        <w:rPr>
          <w:rFonts w:ascii="Arial" w:hAnsi="Arial" w:cs="Arial"/>
          <w:bCs/>
        </w:rPr>
        <w:t xml:space="preserve">che il Comune di _____________________ ha presentato domanda in data _____________ e risulta </w:t>
      </w:r>
      <w:r>
        <w:rPr>
          <w:rFonts w:ascii="Arial" w:hAnsi="Arial" w:cs="Arial"/>
          <w:bCs/>
        </w:rPr>
        <w:t xml:space="preserve">finanziato per € ____________________ con CUP ________________________</w:t>
      </w:r>
      <w:r>
        <w:rPr>
          <w:rFonts w:ascii="Arial" w:hAnsi="Arial" w:cs="Arial"/>
          <w:bCs/>
        </w:rPr>
        <w:t xml:space="preserve">, giusto decreto di finanziamento n. ___ del _________________</w:t>
      </w:r>
      <w:r>
        <w:rPr>
          <w:rFonts w:ascii="Arial" w:hAnsi="Arial" w:cs="Arial"/>
          <w:bCs/>
        </w:rPr>
        <w:t xml:space="preserve">;</w:t>
      </w:r>
      <w:r/>
    </w:p>
    <w:p>
      <w:pPr>
        <w:jc w:val="both"/>
        <w:spacing w:after="240" w:line="360" w:lineRule="auto"/>
        <w:rPr>
          <w:rFonts w:ascii="Arial" w:hAnsi="Arial" w:cs="Arial"/>
          <w:bCs/>
        </w:rPr>
      </w:pPr>
      <w:r>
        <w:rPr>
          <w:rFonts w:ascii="Arial" w:hAnsi="Arial" w:cs="Arial"/>
          <w:bCs/>
        </w:rPr>
        <w:t xml:space="preserve">Considerato che le attività per il raggiungimento degli obiettivi del bando possono essere svolte dal Comune tramite il supporto di un Partner/Intermediario Tecnologico (se già contrattualizzato), o attraverso l</w:t>
      </w:r>
      <w:r>
        <w:rPr>
          <w:rFonts w:ascii="Arial" w:hAnsi="Arial" w:cs="Arial"/>
          <w:bCs/>
        </w:rPr>
        <w:t xml:space="preserve">’</w:t>
      </w:r>
      <w:r>
        <w:rPr>
          <w:rFonts w:ascii="Arial" w:hAnsi="Arial" w:cs="Arial"/>
          <w:bCs/>
        </w:rPr>
        <w:t xml:space="preserve">individuazione di un Partner/intermediario Tecnologico per lo sviluppo di processi di reingegnerizzazione tali da garantire l</w:t>
      </w:r>
      <w:r>
        <w:rPr>
          <w:rFonts w:ascii="Arial" w:hAnsi="Arial" w:cs="Arial"/>
          <w:bCs/>
        </w:rPr>
        <w:t xml:space="preserve">’</w:t>
      </w:r>
      <w:r>
        <w:rPr>
          <w:rFonts w:ascii="Arial" w:hAnsi="Arial" w:cs="Arial"/>
          <w:bCs/>
        </w:rPr>
        <w:t xml:space="preserve">integrazione informatica con le soluzioni gestionali in uso presso il Comune e la piena rispondenza alle specifiche tecnico-operative </w:t>
      </w:r>
      <w:r>
        <w:rPr>
          <w:rFonts w:ascii="Arial" w:hAnsi="Arial" w:cs="Arial"/>
          <w:bCs/>
        </w:rPr>
        <w:t xml:space="preserve">previste per l</w:t>
      </w:r>
      <w:r>
        <w:rPr>
          <w:rFonts w:ascii="Arial" w:hAnsi="Arial" w:cs="Arial"/>
          <w:bCs/>
        </w:rPr>
        <w:t xml:space="preserve">’</w:t>
      </w:r>
      <w:r>
        <w:rPr>
          <w:rFonts w:ascii="Arial" w:hAnsi="Arial" w:cs="Arial"/>
          <w:bCs/>
        </w:rPr>
        <w:t xml:space="preserve">integrazione con la PDND</w:t>
      </w:r>
      <w:r>
        <w:rPr>
          <w:rFonts w:ascii="Arial" w:hAnsi="Arial" w:cs="Arial"/>
          <w:bCs/>
        </w:rPr>
        <w:t xml:space="preserve">;</w:t>
      </w:r>
      <w:r/>
    </w:p>
    <w:p>
      <w:pPr>
        <w:jc w:val="both"/>
        <w:spacing w:after="240" w:line="360" w:lineRule="auto"/>
        <w:rPr>
          <w:rFonts w:ascii="Arial" w:hAnsi="Arial" w:cs="Arial"/>
          <w:bCs/>
        </w:rPr>
      </w:pPr>
      <w:r>
        <w:rPr>
          <w:rFonts w:ascii="Arial" w:hAnsi="Arial" w:cs="Arial"/>
          <w:bCs/>
        </w:rPr>
        <w:t xml:space="preserve">Tenuto conto che </w:t>
      </w:r>
      <w:r>
        <w:rPr>
          <w:rFonts w:ascii="Arial" w:hAnsi="Arial" w:cs="Arial"/>
          <w:bCs/>
        </w:rPr>
        <w:t xml:space="preserve">gli enti fino a 50.000 abitanti </w:t>
      </w:r>
      <w:r>
        <w:rPr>
          <w:rFonts w:ascii="Arial" w:hAnsi="Arial" w:cs="Arial"/>
          <w:bCs/>
        </w:rPr>
        <w:t xml:space="preserve">dev</w:t>
      </w:r>
      <w:r>
        <w:rPr>
          <w:rFonts w:ascii="Arial" w:hAnsi="Arial" w:cs="Arial"/>
          <w:bCs/>
        </w:rPr>
        <w:t xml:space="preserve">ono</w:t>
      </w:r>
      <w:r>
        <w:rPr>
          <w:rFonts w:ascii="Arial" w:hAnsi="Arial" w:cs="Arial"/>
          <w:bCs/>
        </w:rPr>
        <w:t xml:space="preserve"> contrattualizzare con il fornitore entro </w:t>
      </w:r>
      <w:r>
        <w:rPr>
          <w:rFonts w:ascii="Arial" w:hAnsi="Arial" w:cs="Arial"/>
          <w:bCs/>
        </w:rPr>
        <w:t xml:space="preserve">90 </w:t>
      </w:r>
      <w:r>
        <w:rPr>
          <w:rFonts w:ascii="Arial" w:hAnsi="Arial" w:cs="Arial"/>
          <w:bCs/>
        </w:rPr>
        <w:t xml:space="preserve">giorni dalla data di notifica del decreto di finanziamento</w:t>
      </w:r>
      <w:r>
        <w:rPr>
          <w:rFonts w:ascii="Arial" w:hAnsi="Arial" w:cs="Arial"/>
          <w:bCs/>
        </w:rPr>
        <w:t xml:space="preserve">, mentre quelli superiori lo devono fare entro 180 giorni</w:t>
      </w:r>
      <w:r>
        <w:rPr>
          <w:rFonts w:ascii="Arial" w:hAnsi="Arial" w:cs="Arial"/>
          <w:bCs/>
        </w:rPr>
        <w:t xml:space="preserve">;</w:t>
      </w:r>
      <w:r/>
    </w:p>
    <w:p>
      <w:pPr>
        <w:jc w:val="both"/>
        <w:spacing w:after="240" w:line="360" w:lineRule="auto"/>
        <w:rPr>
          <w:rFonts w:ascii="Arial" w:hAnsi="Arial" w:cs="Arial"/>
          <w:bCs/>
        </w:rPr>
      </w:pPr>
      <w:r>
        <w:rPr>
          <w:rFonts w:ascii="Arial" w:hAnsi="Arial" w:cs="Arial"/>
          <w:bCs/>
        </w:rPr>
        <w:t xml:space="preserve">Visto il preventivo della società Halley SUD S.r.l., giusto protocollo n. __</w:t>
      </w:r>
      <w:r>
        <w:rPr>
          <w:rFonts w:ascii="Arial" w:hAnsi="Arial" w:cs="Arial"/>
          <w:bCs/>
        </w:rPr>
        <w:t xml:space="preserve">__</w:t>
      </w:r>
      <w:r>
        <w:rPr>
          <w:rFonts w:ascii="Arial" w:hAnsi="Arial" w:cs="Arial"/>
          <w:bCs/>
        </w:rPr>
        <w:t xml:space="preserve"> del _______________, per l</w:t>
      </w:r>
      <w:r>
        <w:rPr>
          <w:rFonts w:ascii="Arial" w:hAnsi="Arial" w:cs="Arial"/>
          <w:bCs/>
        </w:rPr>
        <w:t xml:space="preserve">’</w:t>
      </w:r>
      <w:r>
        <w:rPr>
          <w:rFonts w:ascii="Arial" w:hAnsi="Arial" w:cs="Arial"/>
          <w:bCs/>
        </w:rPr>
        <w:t xml:space="preserve">attività di </w:t>
      </w:r>
      <w:r>
        <w:rPr>
          <w:rFonts w:ascii="Arial" w:hAnsi="Arial" w:cs="Arial"/>
          <w:bCs/>
        </w:rPr>
        <w:t xml:space="preserve">sviluppo di processi di reingegnerizzazione tali da garantire </w:t>
      </w:r>
      <w:r>
        <w:rPr>
          <w:rFonts w:ascii="Arial" w:hAnsi="Arial" w:cs="Arial"/>
          <w:bCs/>
        </w:rPr>
        <w:t xml:space="preserve">l</w:t>
      </w:r>
      <w:r>
        <w:rPr>
          <w:rFonts w:ascii="Arial" w:hAnsi="Arial" w:cs="Arial"/>
          <w:bCs/>
        </w:rPr>
        <w:t xml:space="preserve">’</w:t>
      </w:r>
      <w:r>
        <w:rPr>
          <w:rFonts w:ascii="Arial" w:hAnsi="Arial" w:cs="Arial"/>
          <w:bCs/>
        </w:rPr>
        <w:t xml:space="preserve">integrazione informatica con le soluzioni gestionali in uso presso i Comuni e la piena rispondenza alle specifiche tecnico-operative previste per l</w:t>
      </w:r>
      <w:r>
        <w:rPr>
          <w:rFonts w:ascii="Arial" w:hAnsi="Arial" w:cs="Arial"/>
          <w:bCs/>
        </w:rPr>
        <w:t xml:space="preserve">’</w:t>
      </w:r>
      <w:r>
        <w:rPr>
          <w:rFonts w:ascii="Arial" w:hAnsi="Arial" w:cs="Arial"/>
          <w:bCs/>
        </w:rPr>
        <w:t xml:space="preserve">integrazione con la PDND</w:t>
      </w:r>
      <w:r>
        <w:rPr>
          <w:rFonts w:ascii="Arial" w:hAnsi="Arial" w:cs="Arial"/>
          <w:bCs/>
        </w:rPr>
        <w:t xml:space="preserve">;</w:t>
      </w:r>
      <w:r/>
    </w:p>
    <w:p>
      <w:pPr>
        <w:jc w:val="both"/>
        <w:spacing w:after="240" w:line="360" w:lineRule="auto"/>
        <w:rPr>
          <w:rFonts w:ascii="Arial" w:hAnsi="Arial" w:cs="Arial"/>
          <w:bCs/>
        </w:rPr>
      </w:pPr>
      <w:r>
        <w:rPr>
          <w:rFonts w:ascii="Arial" w:hAnsi="Arial" w:cs="Arial"/>
          <w:bCs/>
        </w:rPr>
        <w:t xml:space="preserve">Verificato, ai fini e per gli effetti dell</w:t>
      </w:r>
      <w:r>
        <w:rPr>
          <w:rFonts w:ascii="Arial" w:hAnsi="Arial" w:cs="Arial"/>
          <w:bCs/>
        </w:rPr>
        <w:t xml:space="preserve">’</w:t>
      </w:r>
      <w:r>
        <w:rPr>
          <w:rFonts w:ascii="Arial" w:hAnsi="Arial" w:cs="Arial"/>
          <w:bCs/>
        </w:rPr>
        <w:t xml:space="preserve">articolo 26 della l. 488/1999 e dell</w:t>
      </w:r>
      <w:r>
        <w:rPr>
          <w:rFonts w:ascii="Arial" w:hAnsi="Arial" w:cs="Arial"/>
          <w:bCs/>
        </w:rPr>
        <w:t xml:space="preserve">’</w:t>
      </w:r>
      <w:r>
        <w:rPr>
          <w:rFonts w:ascii="Arial" w:hAnsi="Arial" w:cs="Arial"/>
          <w:bCs/>
        </w:rPr>
        <w:t xml:space="preserve">articolo 1, comma 449 della l. 296/2006 che non risultano convenzioni attive stipulate da CONSIP o da centrali regionali di committenza per i servizi in oggetto;</w:t>
      </w:r>
      <w:r/>
    </w:p>
    <w:p>
      <w:pPr>
        <w:jc w:val="both"/>
        <w:spacing w:after="240" w:line="360" w:lineRule="auto"/>
        <w:rPr>
          <w:rFonts w:ascii="Arial" w:hAnsi="Arial" w:cs="Arial"/>
          <w:bCs/>
        </w:rPr>
      </w:pPr>
      <w:r>
        <w:rPr>
          <w:rFonts w:ascii="Arial" w:hAnsi="Arial" w:cs="Arial"/>
          <w:bCs/>
        </w:rPr>
        <w:t xml:space="preserve">Dato atto che il bene da acquisire:</w:t>
      </w:r>
      <w:r/>
    </w:p>
    <w:p>
      <w:pPr>
        <w:numPr>
          <w:ilvl w:val="0"/>
          <w:numId w:val="3"/>
        </w:numPr>
        <w:jc w:val="both"/>
        <w:spacing w:after="240" w:line="360" w:lineRule="auto"/>
        <w:rPr>
          <w:rFonts w:ascii="Arial" w:hAnsi="Arial" w:cs="Arial"/>
          <w:bCs/>
        </w:rPr>
      </w:pPr>
      <w:r>
        <w:rPr>
          <w:rFonts w:ascii="Arial" w:hAnsi="Arial" w:cs="Arial"/>
          <w:bCs/>
        </w:rPr>
        <w:t xml:space="preserve">è di importo inferiore a 5.000,00 euro e pertanto non è obbligatorio il ricorso al MEPA, ai sensi dell</w:t>
      </w:r>
      <w:r>
        <w:rPr>
          <w:rFonts w:ascii="Arial" w:hAnsi="Arial" w:cs="Arial"/>
          <w:bCs/>
        </w:rPr>
        <w:t xml:space="preserve">’</w:t>
      </w:r>
      <w:r>
        <w:rPr>
          <w:rFonts w:ascii="Arial" w:hAnsi="Arial" w:cs="Arial"/>
          <w:bCs/>
        </w:rPr>
        <w:t xml:space="preserve">articolo 1, comma 450 della l. 296/2006;</w:t>
      </w:r>
      <w:r/>
    </w:p>
    <w:p>
      <w:pPr>
        <w:numPr>
          <w:ilvl w:val="0"/>
          <w:numId w:val="3"/>
        </w:numPr>
        <w:jc w:val="both"/>
        <w:spacing w:after="240" w:line="360" w:lineRule="auto"/>
        <w:rPr>
          <w:rFonts w:ascii="Arial" w:hAnsi="Arial" w:cs="Arial"/>
          <w:bCs/>
        </w:rPr>
      </w:pPr>
      <w:r>
        <w:rPr>
          <w:rFonts w:ascii="Arial" w:hAnsi="Arial" w:cs="Arial"/>
          <w:bCs/>
        </w:rPr>
        <w:t xml:space="preserve">non è negoziabile sul MEPA, non essendo disponibili bandi attivi;</w:t>
      </w:r>
      <w:r/>
    </w:p>
    <w:p>
      <w:pPr>
        <w:jc w:val="both"/>
        <w:spacing w:after="240" w:line="360" w:lineRule="auto"/>
        <w:rPr>
          <w:rFonts w:ascii="Arial" w:hAnsi="Arial" w:cs="Arial"/>
          <w:bCs/>
          <w:i/>
          <w:iCs/>
        </w:rPr>
      </w:pPr>
      <w:r>
        <w:rPr>
          <w:rFonts w:ascii="Arial" w:hAnsi="Arial" w:cs="Arial"/>
          <w:bCs/>
          <w:i/>
          <w:iCs/>
        </w:rPr>
        <w:t xml:space="preserve">oppure</w:t>
      </w:r>
      <w:r/>
    </w:p>
    <w:p>
      <w:pPr>
        <w:jc w:val="both"/>
        <w:spacing w:after="240" w:line="360" w:lineRule="auto"/>
        <w:rPr>
          <w:rFonts w:ascii="Arial" w:hAnsi="Arial" w:cs="Arial"/>
          <w:bCs/>
        </w:rPr>
      </w:pPr>
      <w:r>
        <w:rPr>
          <w:rFonts w:ascii="Arial" w:hAnsi="Arial" w:cs="Arial"/>
          <w:bCs/>
        </w:rPr>
        <w:t xml:space="preserve">Dato atto che il servizio da acquisire è di importo pari o superiore a 5.000,00 euro ed inferiore alla soglia comunitaria e pertanto è obbligatorio il ricorso al MEPA, ai sensi dell</w:t>
      </w:r>
      <w:r>
        <w:rPr>
          <w:rFonts w:ascii="Arial" w:hAnsi="Arial" w:cs="Arial"/>
          <w:bCs/>
        </w:rPr>
        <w:t xml:space="preserve">’</w:t>
      </w:r>
      <w:r>
        <w:rPr>
          <w:rFonts w:ascii="Arial" w:hAnsi="Arial" w:cs="Arial"/>
          <w:bCs/>
        </w:rPr>
        <w:t xml:space="preserve">articolo 1, comma 450 della l. 296/2006;</w:t>
      </w:r>
      <w:r/>
    </w:p>
    <w:p>
      <w:pPr>
        <w:jc w:val="both"/>
        <w:spacing w:after="240" w:line="360" w:lineRule="auto"/>
        <w:rPr>
          <w:rFonts w:ascii="Arial" w:hAnsi="Arial" w:cs="Arial"/>
          <w:bCs/>
        </w:rPr>
      </w:pPr>
      <w:r>
        <w:rPr>
          <w:rFonts w:ascii="Arial" w:hAnsi="Arial" w:cs="Arial"/>
          <w:bCs/>
        </w:rPr>
        <w:t xml:space="preserve">Considerato che:</w:t>
      </w:r>
      <w:r/>
    </w:p>
    <w:p>
      <w:pPr>
        <w:numPr>
          <w:ilvl w:val="0"/>
          <w:numId w:val="4"/>
        </w:numPr>
        <w:jc w:val="both"/>
        <w:spacing w:after="240" w:line="360" w:lineRule="auto"/>
        <w:rPr>
          <w:rFonts w:ascii="Arial" w:hAnsi="Arial" w:cs="Arial"/>
          <w:bCs/>
        </w:rPr>
      </w:pPr>
      <w:r>
        <w:rPr>
          <w:rFonts w:ascii="Arial" w:hAnsi="Arial" w:cs="Arial"/>
          <w:bCs/>
        </w:rPr>
        <w:t xml:space="preserve">l</w:t>
      </w:r>
      <w:r>
        <w:rPr>
          <w:rFonts w:ascii="Arial" w:hAnsi="Arial" w:cs="Arial"/>
          <w:bCs/>
        </w:rPr>
        <w:t xml:space="preserve">’</w:t>
      </w:r>
      <w:r>
        <w:rPr>
          <w:rFonts w:ascii="Arial" w:hAnsi="Arial" w:cs="Arial"/>
          <w:bCs/>
        </w:rPr>
        <w:t xml:space="preserve">importo contrattuale complessivo per il servizio è pari a € ____________________________;</w:t>
      </w:r>
      <w:r/>
    </w:p>
    <w:p>
      <w:pPr>
        <w:numPr>
          <w:ilvl w:val="0"/>
          <w:numId w:val="4"/>
        </w:numPr>
        <w:jc w:val="both"/>
        <w:spacing w:after="240" w:line="360" w:lineRule="auto"/>
        <w:rPr>
          <w:rFonts w:ascii="Arial" w:hAnsi="Arial" w:cs="Arial"/>
          <w:bCs/>
        </w:rPr>
      </w:pPr>
      <w:r>
        <w:rPr>
          <w:rFonts w:ascii="Arial" w:hAnsi="Arial" w:cs="Arial"/>
          <w:bCs/>
        </w:rPr>
        <w:t xml:space="preserve">l</w:t>
      </w:r>
      <w:r>
        <w:rPr>
          <w:rFonts w:ascii="Arial" w:hAnsi="Arial" w:cs="Arial"/>
          <w:bCs/>
        </w:rPr>
        <w:t xml:space="preserve">’</w:t>
      </w:r>
      <w:r>
        <w:rPr>
          <w:rFonts w:ascii="Arial" w:hAnsi="Arial" w:cs="Arial"/>
          <w:bCs/>
        </w:rPr>
        <w:t xml:space="preserve">importo complessivo contrattuale della fornitura sopra specificata è inferiore ad 75.000,00 euro e che, pertanto, è possibile procedere in via autonoma all</w:t>
      </w:r>
      <w:r>
        <w:rPr>
          <w:rFonts w:ascii="Arial" w:hAnsi="Arial" w:cs="Arial"/>
          <w:bCs/>
        </w:rPr>
        <w:t xml:space="preserve">’</w:t>
      </w:r>
      <w:r>
        <w:rPr>
          <w:rFonts w:ascii="Arial" w:hAnsi="Arial" w:cs="Arial"/>
          <w:bCs/>
        </w:rPr>
        <w:t xml:space="preserve">affidamento dell</w:t>
      </w:r>
      <w:r>
        <w:rPr>
          <w:rFonts w:ascii="Arial" w:hAnsi="Arial" w:cs="Arial"/>
          <w:bCs/>
        </w:rPr>
        <w:t xml:space="preserve">’</w:t>
      </w:r>
      <w:r>
        <w:rPr>
          <w:rFonts w:ascii="Arial" w:hAnsi="Arial" w:cs="Arial"/>
          <w:bCs/>
        </w:rPr>
        <w:t xml:space="preserve">appalto della fornitura in parola, ai sensi e per gli effetti dell</w:t>
      </w:r>
      <w:r>
        <w:rPr>
          <w:rFonts w:ascii="Arial" w:hAnsi="Arial" w:cs="Arial"/>
          <w:bCs/>
        </w:rPr>
        <w:t xml:space="preserve">’</w:t>
      </w:r>
      <w:r>
        <w:rPr>
          <w:rFonts w:ascii="Arial" w:hAnsi="Arial" w:cs="Arial"/>
          <w:bCs/>
        </w:rPr>
        <w:t xml:space="preserve">articolo 1, comma 2, lettera a) del d.l. 76/2020 convertito dalla l. 120/2020, mediante affidamento diretto senza procedimento di gara;</w:t>
      </w:r>
      <w:r/>
    </w:p>
    <w:p>
      <w:pPr>
        <w:numPr>
          <w:ilvl w:val="0"/>
          <w:numId w:val="4"/>
        </w:numPr>
        <w:jc w:val="both"/>
        <w:spacing w:after="240" w:line="360" w:lineRule="auto"/>
        <w:rPr>
          <w:rFonts w:ascii="Arial" w:hAnsi="Arial" w:cs="Arial"/>
          <w:bCs/>
        </w:rPr>
      </w:pPr>
      <w:r>
        <w:rPr>
          <w:rFonts w:ascii="Arial" w:hAnsi="Arial" w:cs="Arial"/>
          <w:bCs/>
        </w:rPr>
        <w:t xml:space="preserve">che le ragioni del ricorso all</w:t>
      </w:r>
      <w:r>
        <w:rPr>
          <w:rFonts w:ascii="Arial" w:hAnsi="Arial" w:cs="Arial"/>
          <w:bCs/>
        </w:rPr>
        <w:t xml:space="preserve">’</w:t>
      </w:r>
      <w:r>
        <w:rPr>
          <w:rFonts w:ascii="Arial" w:hAnsi="Arial" w:cs="Arial"/>
          <w:bCs/>
        </w:rPr>
        <w:t xml:space="preserve">affidamento diretto sono rinvenibili nella necessità di acquisire la fornitura quanto prima al fine di </w:t>
      </w:r>
      <w:r>
        <w:rPr>
          <w:rFonts w:ascii="Arial" w:hAnsi="Arial" w:cs="Arial"/>
          <w:bCs/>
        </w:rPr>
        <w:t xml:space="preserve">rispettare le scadenze del bando</w:t>
      </w:r>
      <w:r>
        <w:rPr>
          <w:rFonts w:ascii="Arial" w:hAnsi="Arial" w:cs="Arial"/>
          <w:bCs/>
        </w:rPr>
        <w:t xml:space="preserve">;</w:t>
      </w:r>
      <w:r/>
    </w:p>
    <w:p>
      <w:pPr>
        <w:jc w:val="both"/>
        <w:spacing w:after="240" w:line="360" w:lineRule="auto"/>
        <w:rPr>
          <w:rFonts w:ascii="Arial" w:hAnsi="Arial" w:cs="Arial"/>
          <w:bCs/>
        </w:rPr>
      </w:pPr>
      <w:r>
        <w:rPr>
          <w:rFonts w:ascii="Arial" w:hAnsi="Arial" w:cs="Arial"/>
          <w:bCs/>
        </w:rPr>
        <w:t xml:space="preserve">Considerato che, il prezzo di affidamento diretto dell</w:t>
      </w:r>
      <w:r>
        <w:rPr>
          <w:rFonts w:ascii="Arial" w:hAnsi="Arial" w:cs="Arial"/>
          <w:bCs/>
        </w:rPr>
        <w:t xml:space="preserve">’</w:t>
      </w:r>
      <w:r>
        <w:rPr>
          <w:rFonts w:ascii="Arial" w:hAnsi="Arial" w:cs="Arial"/>
          <w:bCs/>
        </w:rPr>
        <w:t xml:space="preserve">appalto in oggetto può ritenersi congruo sulla base di specifica valutazione estimativa operata a cura del </w:t>
      </w:r>
      <w:r>
        <w:rPr>
          <w:rFonts w:ascii="Arial" w:hAnsi="Arial" w:cs="Arial"/>
          <w:bCs/>
        </w:rPr>
        <w:t xml:space="preserve">r</w:t>
      </w:r>
      <w:r>
        <w:rPr>
          <w:rFonts w:ascii="Arial" w:hAnsi="Arial" w:cs="Arial"/>
          <w:bCs/>
        </w:rPr>
        <w:t xml:space="preserve">esponsabile del </w:t>
      </w:r>
      <w:r>
        <w:rPr>
          <w:rFonts w:ascii="Arial" w:hAnsi="Arial" w:cs="Arial"/>
          <w:bCs/>
        </w:rPr>
        <w:t xml:space="preserve">servizio</w:t>
      </w:r>
      <w:r>
        <w:rPr>
          <w:rFonts w:ascii="Arial" w:hAnsi="Arial" w:cs="Arial"/>
          <w:bCs/>
        </w:rPr>
        <w:t xml:space="preserve">;</w:t>
      </w:r>
      <w:r/>
    </w:p>
    <w:p>
      <w:pPr>
        <w:jc w:val="both"/>
        <w:spacing w:after="240" w:line="360" w:lineRule="auto"/>
        <w:rPr>
          <w:rFonts w:ascii="Arial" w:hAnsi="Arial" w:cs="Arial"/>
          <w:bCs/>
        </w:rPr>
      </w:pPr>
      <w:r>
        <w:rPr>
          <w:rFonts w:ascii="Arial" w:hAnsi="Arial" w:cs="Arial"/>
          <w:bCs/>
        </w:rPr>
        <w:t xml:space="preserve">Dato atto che non sussistono cause di incompatibilità e conflitto d</w:t>
      </w:r>
      <w:r>
        <w:rPr>
          <w:rFonts w:ascii="Arial" w:hAnsi="Arial" w:cs="Arial"/>
          <w:bCs/>
        </w:rPr>
        <w:t xml:space="preserve">’</w:t>
      </w:r>
      <w:r>
        <w:rPr>
          <w:rFonts w:ascii="Arial" w:hAnsi="Arial" w:cs="Arial"/>
          <w:bCs/>
        </w:rPr>
        <w:t xml:space="preserve">interesse ai sensi dell</w:t>
      </w:r>
      <w:r>
        <w:rPr>
          <w:rFonts w:ascii="Arial" w:hAnsi="Arial" w:cs="Arial"/>
          <w:bCs/>
        </w:rPr>
        <w:t xml:space="preserve">’</w:t>
      </w:r>
      <w:r>
        <w:rPr>
          <w:rFonts w:ascii="Arial" w:hAnsi="Arial" w:cs="Arial"/>
          <w:bCs/>
        </w:rPr>
        <w:t xml:space="preserve">articolo 42 del d.lgs. 50/2016;</w:t>
      </w:r>
      <w:r/>
    </w:p>
    <w:p>
      <w:pPr>
        <w:jc w:val="both"/>
        <w:spacing w:after="240" w:line="360" w:lineRule="auto"/>
        <w:rPr>
          <w:rFonts w:ascii="Arial" w:hAnsi="Arial" w:cs="Arial"/>
          <w:bCs/>
        </w:rPr>
      </w:pPr>
      <w:r>
        <w:rPr>
          <w:rFonts w:ascii="Arial" w:hAnsi="Arial" w:cs="Arial"/>
          <w:bCs/>
        </w:rPr>
        <w:t xml:space="preserve">Considerato che il CIG di riferimento del presente affidamento è il ……………………………………;</w:t>
      </w:r>
      <w:r/>
    </w:p>
    <w:p>
      <w:pPr>
        <w:jc w:val="both"/>
        <w:spacing w:after="240" w:line="360" w:lineRule="auto"/>
        <w:rPr>
          <w:rFonts w:ascii="Arial" w:hAnsi="Arial" w:cs="Arial"/>
          <w:bCs/>
        </w:rPr>
      </w:pPr>
      <w:r>
        <w:rPr>
          <w:rFonts w:ascii="Arial" w:hAnsi="Arial" w:cs="Arial"/>
          <w:bCs/>
        </w:rPr>
        <w:t xml:space="preserve">Visto il regolamento di contabilità armonizzata;</w:t>
      </w:r>
      <w:r/>
    </w:p>
    <w:p>
      <w:pPr>
        <w:jc w:val="center"/>
        <w:spacing w:after="240" w:line="360" w:lineRule="auto"/>
        <w:rPr>
          <w:rFonts w:ascii="Arial" w:hAnsi="Arial" w:cs="Arial"/>
          <w:b/>
          <w:spacing w:val="30"/>
        </w:rPr>
      </w:pPr>
      <w:r>
        <w:rPr>
          <w:rFonts w:ascii="Arial" w:hAnsi="Arial" w:cs="Arial"/>
          <w:b/>
          <w:spacing w:val="30"/>
        </w:rPr>
        <w:t xml:space="preserve">DETERMINA</w:t>
      </w:r>
      <w:r/>
    </w:p>
    <w:p>
      <w:pPr>
        <w:jc w:val="both"/>
        <w:spacing w:after="240" w:line="360" w:lineRule="auto"/>
        <w:rPr>
          <w:rFonts w:ascii="Arial" w:hAnsi="Arial" w:cs="Arial"/>
          <w:bCs/>
        </w:rPr>
      </w:pPr>
      <w:r>
        <w:rPr>
          <w:rFonts w:ascii="Arial" w:hAnsi="Arial" w:cs="Arial"/>
          <w:bCs/>
        </w:rPr>
        <w:t xml:space="preserve">1. di affidare, per i motivi esposti in narrativa e che qui si intendono integralmente riportati, </w:t>
      </w:r>
      <w:r>
        <w:rPr>
          <w:rFonts w:ascii="Arial" w:hAnsi="Arial" w:cs="Arial"/>
          <w:bCs/>
        </w:rPr>
        <w:t xml:space="preserve">il servizio di </w:t>
      </w:r>
      <w:r>
        <w:rPr>
          <w:rFonts w:ascii="Arial" w:hAnsi="Arial" w:cs="Arial"/>
          <w:bCs/>
        </w:rPr>
        <w:t xml:space="preserve">sviluppo di processi di reingegnerizzazione tali da garantire l’integrazione informatica con le soluzioni gestionali in uso presso il Comune e la piena rispondenza alle specifiche tecnico-operative previste per l’integrazione con la PDND </w:t>
      </w:r>
      <w:r>
        <w:rPr>
          <w:rFonts w:ascii="Arial" w:hAnsi="Arial" w:cs="Arial"/>
          <w:bCs/>
        </w:rPr>
        <w:t xml:space="preserve">alla società </w:t>
      </w:r>
      <w:r>
        <w:rPr>
          <w:rFonts w:ascii="Arial" w:hAnsi="Arial" w:cs="Arial"/>
          <w:bCs/>
        </w:rPr>
        <w:t xml:space="preserve">Halley SUD S.r.l</w:t>
      </w:r>
      <w:r>
        <w:rPr>
          <w:rFonts w:ascii="Arial" w:hAnsi="Arial" w:cs="Arial"/>
          <w:bCs/>
        </w:rPr>
        <w:t xml:space="preserve">.</w:t>
      </w:r>
      <w:r/>
    </w:p>
    <w:p>
      <w:pPr>
        <w:jc w:val="both"/>
        <w:spacing w:after="240" w:line="360" w:lineRule="auto"/>
        <w:rPr>
          <w:rFonts w:ascii="Arial" w:hAnsi="Arial" w:cs="Arial"/>
          <w:bCs/>
        </w:rPr>
      </w:pPr>
      <w:r>
        <w:rPr>
          <w:rFonts w:ascii="Arial" w:hAnsi="Arial" w:cs="Arial"/>
          <w:bCs/>
        </w:rPr>
        <w:t xml:space="preserve">2. di stabilire che le attività </w:t>
      </w:r>
      <w:r>
        <w:rPr>
          <w:rFonts w:ascii="Arial" w:hAnsi="Arial" w:cs="Arial"/>
          <w:bCs/>
        </w:rPr>
        <w:t xml:space="preserve">contrattualizzate </w:t>
      </w:r>
      <w:r>
        <w:rPr>
          <w:rFonts w:ascii="Arial" w:hAnsi="Arial" w:cs="Arial"/>
          <w:bCs/>
        </w:rPr>
        <w:t xml:space="preserve">dovranno essere eseguite entro </w:t>
      </w:r>
      <w:r>
        <w:rPr>
          <w:rFonts w:ascii="Arial" w:hAnsi="Arial" w:cs="Arial"/>
          <w:bCs/>
        </w:rPr>
        <w:t xml:space="preserve">180 </w:t>
      </w:r>
      <w:r>
        <w:rPr>
          <w:rFonts w:ascii="Arial" w:hAnsi="Arial" w:cs="Arial"/>
          <w:bCs/>
        </w:rPr>
        <w:t xml:space="preserve">giorni dall</w:t>
      </w:r>
      <w:r>
        <w:rPr>
          <w:rFonts w:ascii="Arial" w:hAnsi="Arial" w:cs="Arial"/>
          <w:bCs/>
        </w:rPr>
        <w:t xml:space="preserve">’</w:t>
      </w:r>
      <w:r>
        <w:rPr>
          <w:rFonts w:ascii="Arial" w:hAnsi="Arial" w:cs="Arial"/>
          <w:bCs/>
        </w:rPr>
        <w:t xml:space="preserve">esecutività del presente atto.</w:t>
      </w:r>
      <w:r/>
    </w:p>
    <w:p>
      <w:pPr>
        <w:jc w:val="both"/>
        <w:spacing w:after="240" w:line="360" w:lineRule="auto"/>
        <w:rPr>
          <w:rFonts w:ascii="Arial" w:hAnsi="Arial" w:cs="Arial"/>
        </w:rPr>
      </w:pPr>
      <w:r>
        <w:rPr>
          <w:rFonts w:ascii="Arial" w:hAnsi="Arial" w:cs="Arial"/>
          <w:bCs/>
        </w:rPr>
        <w:t xml:space="preserve">3</w:t>
      </w:r>
      <w:r>
        <w:rPr>
          <w:rFonts w:ascii="Arial" w:hAnsi="Arial" w:cs="Arial"/>
          <w:bCs/>
        </w:rPr>
        <w:t xml:space="preserve">. di impegnare, </w:t>
      </w:r>
      <w:r>
        <w:rPr>
          <w:rFonts w:ascii="Arial" w:hAnsi="Arial" w:cs="Arial"/>
        </w:rPr>
        <w:t xml:space="preserve">ai sensi dell</w:t>
      </w:r>
      <w:r>
        <w:rPr>
          <w:rFonts w:ascii="Arial" w:hAnsi="Arial" w:cs="Arial"/>
        </w:rPr>
        <w:t xml:space="preserve">’</w:t>
      </w:r>
      <w:r>
        <w:rPr>
          <w:rFonts w:ascii="Arial" w:hAnsi="Arial" w:cs="Arial"/>
        </w:rPr>
        <w:t xml:space="preserve">artico</w:t>
      </w:r>
      <w:r>
        <w:rPr>
          <w:rFonts w:ascii="Arial" w:hAnsi="Arial" w:cs="Arial"/>
        </w:rPr>
        <w:t xml:space="preserve">lo 183 del d.lgs. 267/2000 e del principio contabile applicato allegato 4/2 al d.lgs. 118/2011, le somme di cui alla tabella in calce corrispondenti ad obbligazioni giuridicamente perfezionate, con imputazione agli esercizi in cui le stesse sono esigibili.</w:t>
      </w:r>
      <w:r/>
    </w:p>
    <w:p>
      <w:pPr>
        <w:jc w:val="both"/>
        <w:spacing w:after="240" w:line="360" w:lineRule="auto"/>
        <w:rPr>
          <w:rFonts w:ascii="Arial" w:hAnsi="Arial" w:cs="Arial"/>
          <w:bCs/>
        </w:rPr>
      </w:pPr>
      <w:r>
        <w:rPr>
          <w:rFonts w:ascii="Arial" w:hAnsi="Arial" w:cs="Arial"/>
          <w:bCs/>
        </w:rPr>
        <w:t xml:space="preserve">4</w:t>
      </w:r>
      <w:r>
        <w:rPr>
          <w:rFonts w:ascii="Arial" w:hAnsi="Arial" w:cs="Arial"/>
          <w:bCs/>
        </w:rPr>
        <w:t xml:space="preserve">. di accertare, ai sensi del comma 8 dell</w:t>
      </w:r>
      <w:r>
        <w:rPr>
          <w:rFonts w:ascii="Arial" w:hAnsi="Arial" w:cs="Arial"/>
          <w:bCs/>
        </w:rPr>
        <w:t xml:space="preserve">’</w:t>
      </w:r>
      <w:r>
        <w:rPr>
          <w:rFonts w:ascii="Arial" w:hAnsi="Arial" w:cs="Arial"/>
          <w:bCs/>
        </w:rPr>
        <w:t xml:space="preserve">articolo 183 del d.lgs. 267/2000 che il programma dei conseguenti pagamenti dell</w:t>
      </w:r>
      <w:r>
        <w:rPr>
          <w:rFonts w:ascii="Arial" w:hAnsi="Arial" w:cs="Arial"/>
          <w:bCs/>
        </w:rPr>
        <w:t xml:space="preserve">’</w:t>
      </w:r>
      <w:r>
        <w:rPr>
          <w:rFonts w:ascii="Arial" w:hAnsi="Arial" w:cs="Arial"/>
          <w:bCs/>
        </w:rPr>
        <w:t xml:space="preserve">impegno di spesa di cui al presente provvedimento è compatibile con i relativi stanziamenti di cassa del bilancio e con le regole di finanza pubblica.</w:t>
      </w:r>
      <w:r/>
    </w:p>
    <w:p>
      <w:pPr>
        <w:jc w:val="both"/>
        <w:spacing w:after="240" w:line="360" w:lineRule="auto"/>
        <w:rPr>
          <w:rFonts w:ascii="Arial" w:hAnsi="Arial" w:cs="Arial"/>
        </w:rPr>
      </w:pPr>
      <w:r>
        <w:rPr>
          <w:rFonts w:ascii="Arial" w:hAnsi="Arial" w:cs="Arial"/>
        </w:rPr>
        <w:t xml:space="preserve">5</w:t>
      </w:r>
      <w:r>
        <w:rPr>
          <w:rFonts w:ascii="Arial" w:hAnsi="Arial" w:cs="Arial"/>
        </w:rPr>
        <w:t xml:space="preserve">. di comunicare ai terzi interessati il presente provvedimento, ai sensi dell</w:t>
      </w:r>
      <w:r>
        <w:rPr>
          <w:rFonts w:ascii="Arial" w:hAnsi="Arial" w:cs="Arial"/>
        </w:rPr>
        <w:t xml:space="preserve">’</w:t>
      </w:r>
      <w:r>
        <w:rPr>
          <w:rFonts w:ascii="Arial" w:hAnsi="Arial" w:cs="Arial"/>
        </w:rPr>
        <w:t xml:space="preserve">articolo 191 del d.lgs. 267/2000, specificando che le somme da corrispondere saranno liquidate su presentazione di regolare fattura entro trenta giorni dal ricevimento della stessa, previa verifica del rispetto degli impegni contrattualmente assunti.</w:t>
      </w:r>
      <w:r>
        <w:rPr>
          <w:rFonts w:ascii="Arial" w:hAnsi="Arial" w:cs="Arial"/>
        </w:rPr>
        <w:br/>
        <w:t xml:space="preserve">La fattura (inviata esclusivamente in modalità elettronica) dovrà:</w:t>
      </w:r>
      <w:r/>
    </w:p>
    <w:p>
      <w:pPr>
        <w:numPr>
          <w:ilvl w:val="0"/>
          <w:numId w:val="5"/>
        </w:numPr>
        <w:jc w:val="both"/>
        <w:spacing w:after="240" w:line="360" w:lineRule="auto"/>
        <w:rPr>
          <w:rFonts w:ascii="Arial" w:hAnsi="Arial" w:cs="Arial"/>
        </w:rPr>
      </w:pPr>
      <w:r>
        <w:rPr>
          <w:rFonts w:ascii="Arial" w:hAnsi="Arial" w:cs="Arial"/>
        </w:rPr>
        <w:t xml:space="preserve">essere intestata al Comune di </w:t>
      </w:r>
      <w:r>
        <w:rPr>
          <w:rFonts w:ascii="Arial" w:hAnsi="Arial" w:cs="Arial"/>
        </w:rPr>
        <w:t xml:space="preserve">_______________</w:t>
      </w:r>
      <w:r>
        <w:rPr>
          <w:rFonts w:ascii="Arial" w:hAnsi="Arial" w:cs="Arial"/>
        </w:rPr>
        <w:t xml:space="preserve">, </w:t>
      </w:r>
      <w:r>
        <w:rPr>
          <w:rFonts w:ascii="Arial" w:hAnsi="Arial" w:cs="Arial"/>
        </w:rPr>
        <w:t xml:space="preserve">Servizio _____________</w:t>
      </w:r>
      <w:r>
        <w:rPr>
          <w:rFonts w:ascii="Arial" w:hAnsi="Arial" w:cs="Arial"/>
        </w:rPr>
        <w:t xml:space="preserve">;</w:t>
      </w:r>
      <w:r/>
    </w:p>
    <w:p>
      <w:pPr>
        <w:numPr>
          <w:ilvl w:val="0"/>
          <w:numId w:val="5"/>
        </w:numPr>
        <w:jc w:val="both"/>
        <w:spacing w:after="240" w:line="360" w:lineRule="auto"/>
        <w:rPr>
          <w:rFonts w:ascii="Arial" w:hAnsi="Arial" w:cs="Arial"/>
        </w:rPr>
      </w:pPr>
      <w:r>
        <w:rPr>
          <w:rFonts w:ascii="Arial" w:hAnsi="Arial" w:cs="Arial"/>
        </w:rPr>
        <w:t xml:space="preserve">riportare al suo interno:</w:t>
      </w:r>
      <w:r/>
    </w:p>
    <w:p>
      <w:pPr>
        <w:numPr>
          <w:ilvl w:val="1"/>
          <w:numId w:val="6"/>
        </w:numPr>
        <w:jc w:val="both"/>
        <w:spacing w:after="240" w:line="360" w:lineRule="auto"/>
        <w:rPr>
          <w:rFonts w:ascii="Arial" w:hAnsi="Arial" w:cs="Arial"/>
        </w:rPr>
      </w:pPr>
      <w:r>
        <w:rPr>
          <w:rFonts w:ascii="Arial" w:hAnsi="Arial" w:cs="Arial"/>
        </w:rPr>
        <w:t xml:space="preserve">gli estremi della presente determinazione (numero e data);</w:t>
      </w:r>
      <w:r/>
    </w:p>
    <w:p>
      <w:pPr>
        <w:numPr>
          <w:ilvl w:val="1"/>
          <w:numId w:val="6"/>
        </w:numPr>
        <w:jc w:val="both"/>
        <w:spacing w:after="240" w:line="360" w:lineRule="auto"/>
        <w:rPr>
          <w:rFonts w:ascii="Arial" w:hAnsi="Arial" w:cs="Arial"/>
        </w:rPr>
      </w:pPr>
      <w:r>
        <w:rPr>
          <w:rFonts w:ascii="Arial" w:hAnsi="Arial" w:cs="Arial"/>
        </w:rPr>
        <w:t xml:space="preserve">il codice IPA del </w:t>
      </w:r>
      <w:r>
        <w:rPr>
          <w:rFonts w:ascii="Arial" w:hAnsi="Arial" w:cs="Arial"/>
        </w:rPr>
        <w:t xml:space="preserve">Servizio ____________</w:t>
      </w:r>
      <w:r>
        <w:rPr>
          <w:rFonts w:ascii="Arial" w:hAnsi="Arial" w:cs="Arial"/>
        </w:rPr>
        <w:t xml:space="preserve"> (</w:t>
      </w:r>
      <w:r>
        <w:rPr>
          <w:rFonts w:ascii="Arial" w:hAnsi="Arial" w:cs="Arial"/>
        </w:rPr>
        <w:t xml:space="preserve">________________</w:t>
      </w:r>
      <w:r>
        <w:rPr>
          <w:rFonts w:ascii="Arial" w:hAnsi="Arial" w:cs="Arial"/>
        </w:rPr>
        <w:t xml:space="preserve">);</w:t>
      </w:r>
      <w:r/>
    </w:p>
    <w:p>
      <w:pPr>
        <w:numPr>
          <w:ilvl w:val="1"/>
          <w:numId w:val="6"/>
        </w:numPr>
        <w:jc w:val="both"/>
        <w:spacing w:after="240" w:line="360" w:lineRule="auto"/>
        <w:rPr>
          <w:rFonts w:ascii="Arial" w:hAnsi="Arial" w:cs="Arial"/>
        </w:rPr>
      </w:pPr>
      <w:r>
        <w:rPr>
          <w:rFonts w:ascii="Arial" w:hAnsi="Arial" w:cs="Arial"/>
        </w:rPr>
        <w:t xml:space="preserve">il codice CIG (codice identificativo di gara)</w:t>
      </w:r>
      <w:r>
        <w:rPr>
          <w:rFonts w:ascii="Arial" w:hAnsi="Arial" w:cs="Arial"/>
        </w:rPr>
        <w:t xml:space="preserve"> e il codice CUP</w:t>
      </w:r>
      <w:r>
        <w:rPr>
          <w:rFonts w:ascii="Arial" w:hAnsi="Arial" w:cs="Arial"/>
        </w:rPr>
        <w:t xml:space="preserve">;</w:t>
      </w:r>
      <w:r/>
    </w:p>
    <w:p>
      <w:pPr>
        <w:numPr>
          <w:ilvl w:val="0"/>
          <w:numId w:val="5"/>
        </w:numPr>
        <w:jc w:val="both"/>
        <w:spacing w:after="240" w:line="360" w:lineRule="auto"/>
        <w:rPr>
          <w:rFonts w:ascii="Arial" w:hAnsi="Arial" w:cs="Arial"/>
        </w:rPr>
      </w:pPr>
      <w:r>
        <w:rPr>
          <w:rFonts w:ascii="Arial" w:hAnsi="Arial" w:cs="Arial"/>
        </w:rPr>
        <w:t xml:space="preserve">contenere in allegato il conto corrente dedicato ai sensi dell</w:t>
      </w:r>
      <w:r>
        <w:rPr>
          <w:rFonts w:ascii="Arial" w:hAnsi="Arial" w:cs="Arial"/>
        </w:rPr>
        <w:t xml:space="preserve">’</w:t>
      </w:r>
      <w:r>
        <w:rPr>
          <w:rFonts w:ascii="Arial" w:hAnsi="Arial" w:cs="Arial"/>
        </w:rPr>
        <w:t xml:space="preserve">articolo 3 della l. 136/2019.</w:t>
      </w:r>
      <w:r/>
    </w:p>
    <w:p>
      <w:pPr>
        <w:jc w:val="both"/>
        <w:spacing w:after="240" w:line="360" w:lineRule="auto"/>
        <w:rPr>
          <w:rFonts w:ascii="Arial" w:hAnsi="Arial" w:cs="Arial"/>
        </w:rPr>
      </w:pPr>
      <w:r>
        <w:rPr>
          <w:rFonts w:ascii="Arial" w:hAnsi="Arial" w:cs="Arial"/>
          <w:bCs/>
        </w:rPr>
        <w:t xml:space="preserve">6</w:t>
      </w:r>
      <w:r>
        <w:rPr>
          <w:rFonts w:ascii="Arial" w:hAnsi="Arial" w:cs="Arial"/>
          <w:bCs/>
        </w:rPr>
        <w:t xml:space="preserve">. di dare atto che</w:t>
      </w:r>
      <w:r>
        <w:rPr>
          <w:rFonts w:ascii="Arial" w:hAnsi="Arial" w:cs="Arial"/>
        </w:rPr>
        <w:t xml:space="preserve"> l</w:t>
      </w:r>
      <w:r>
        <w:rPr>
          <w:rFonts w:ascii="Arial" w:hAnsi="Arial" w:cs="Arial"/>
        </w:rPr>
        <w:t xml:space="preserve">’</w:t>
      </w:r>
      <w:r>
        <w:rPr>
          <w:rFonts w:ascii="Arial" w:hAnsi="Arial" w:cs="Arial"/>
        </w:rPr>
        <w:t xml:space="preserve">esecutività del presente provvedimento è subordinata all</w:t>
      </w:r>
      <w:r>
        <w:rPr>
          <w:rFonts w:ascii="Arial" w:hAnsi="Arial" w:cs="Arial"/>
        </w:rPr>
        <w:t xml:space="preserve">’</w:t>
      </w:r>
      <w:r>
        <w:rPr>
          <w:rFonts w:ascii="Arial" w:hAnsi="Arial" w:cs="Arial"/>
        </w:rPr>
        <w:t xml:space="preserve">apposizione del visto di regolarità contabile attestante la copertura finanziaria (articolo 183, comma 7 del d.lgs. 267/2000).</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417" w:right="1134" w:bottom="1560"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Wingdings">
    <w:panose1 w:val="05000000000000000000"/>
  </w:font>
  <w:font w:name="Symbol">
    <w:panose1 w:val="05050102010706020507"/>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margin">
                <wp:align>center</wp:align>
              </wp:positionH>
              <wp:positionV relativeFrom="paragraph">
                <wp:posOffset>28575</wp:posOffset>
              </wp:positionV>
              <wp:extent cx="350550" cy="320068"/>
              <wp:effectExtent l="0" t="0" r="0" b="3810"/>
              <wp:wrapTight wrapText="bothSides">
                <wp:wrapPolygon edited="1">
                  <wp:start x="0" y="0"/>
                  <wp:lineTo x="0" y="20571"/>
                  <wp:lineTo x="19957" y="20571"/>
                  <wp:lineTo x="19957" y="0"/>
                  <wp:lineTo x="0" y="0"/>
                </wp:wrapPolygon>
              </wp:wrapTigh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r/>
                    </pic:nvPicPr>
                    <pic:blipFill>
                      <a:blip r:embed="rId1"/>
                      <a:stretch/>
                    </pic:blipFill>
                    <pic:spPr bwMode="auto">
                      <a:xfrm>
                        <a:off x="0" y="0"/>
                        <a:ext cx="350550" cy="32006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center;mso-position-vertical-relative:text;margin-top:2.2pt;mso-position-vertical:absolute;width:27.6pt;height:25.2pt;mso-wrap-distance-left:9.0pt;mso-wrap-distance-top:0.0pt;mso-wrap-distance-right:9.0pt;mso-wrap-distance-bottom:0.0pt;" wrapcoords="0 0 0 95236 92394 95236 92394 0 0 0" stroked="false">
              <v:path textboxrect="0,0,0,0"/>
              <w10:wrap type="tight"/>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margin">
                <wp:align>center</wp:align>
              </wp:positionH>
              <wp:positionV relativeFrom="paragraph">
                <wp:posOffset>-146685</wp:posOffset>
              </wp:positionV>
              <wp:extent cx="594412" cy="175275"/>
              <wp:effectExtent l="0" t="0" r="0" b="0"/>
              <wp:wrapTight wrapText="bothSides">
                <wp:wrapPolygon edited="1">
                  <wp:start x="0" y="0"/>
                  <wp:lineTo x="0" y="18783"/>
                  <wp:lineTo x="20769" y="18783"/>
                  <wp:lineTo x="20769" y="0"/>
                  <wp:lineTo x="0"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r/>
                    </pic:nvPicPr>
                    <pic:blipFill>
                      <a:blip r:embed="rId2"/>
                      <a:stretch/>
                    </pic:blipFill>
                    <pic:spPr bwMode="auto">
                      <a:xfrm>
                        <a:off x="0" y="0"/>
                        <a:ext cx="594412" cy="17527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margin;mso-position-horizontal:center;mso-position-vertical-relative:text;margin-top:-11.5pt;mso-position-vertical:absolute;width:46.8pt;height:13.8pt;mso-wrap-distance-left:9.0pt;mso-wrap-distance-top:0.0pt;mso-wrap-distance-right:9.0pt;mso-wrap-distance-bottom:0.0pt;" wrapcoords="0 0 0 86958 96153 86958 96153 0 0 0" stroked="false">
              <v:path textboxrect="0,0,0,0"/>
              <w10:wrap type="tight"/>
              <v:imagedata r:id="rId2" o:title=""/>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lowerLett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lowerLetter"/>
      <w:isLgl w:val="false"/>
      <w:suff w:val="tab"/>
      <w:lvlText w:val="%1)"/>
      <w:lvlJc w:val="left"/>
      <w:pPr>
        <w:ind w:left="720" w:hanging="360"/>
      </w:pPr>
      <w:rPr>
        <w:rFonts w:cs="Times New Roman"/>
      </w:rPr>
    </w:lvl>
    <w:lvl w:ilvl="1">
      <w:start w:val="1"/>
      <w:numFmt w:val="bullet"/>
      <w:isLgl w:val="false"/>
      <w:suff w:val="tab"/>
      <w:lvlText w:val=""/>
      <w:lvlJc w:val="left"/>
      <w:pPr>
        <w:ind w:left="1440" w:hanging="360"/>
      </w:pPr>
      <w:rPr>
        <w:rFonts w:hint="default" w:ascii="Wingdings" w:hAnsi="Wingdings"/>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lowerLetter"/>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2"/>
  </w:num>
  <w:num w:numId="2">
    <w:abstractNumId w:val="11"/>
  </w:num>
  <w:num w:numId="3">
    <w:abstractNumId w:val="15"/>
  </w:num>
  <w:num w:numId="4">
    <w:abstractNumId w:val="8"/>
  </w:num>
  <w:num w:numId="5">
    <w:abstractNumId w:val="9"/>
  </w:num>
  <w:num w:numId="6">
    <w:abstractNumId w:val="5"/>
  </w:num>
  <w:num w:numId="7">
    <w:abstractNumId w:val="13"/>
  </w:num>
  <w:num w:numId="8">
    <w:abstractNumId w:val="1"/>
  </w:num>
  <w:num w:numId="9">
    <w:abstractNumId w:val="6"/>
  </w:num>
  <w:num w:numId="10">
    <w:abstractNumId w:val="10"/>
  </w:num>
  <w:num w:numId="11">
    <w:abstractNumId w:val="0"/>
  </w:num>
  <w:num w:numId="12">
    <w:abstractNumId w:val="14"/>
  </w:num>
  <w:num w:numId="13">
    <w:abstractNumId w:val="12"/>
  </w:num>
  <w:num w:numId="14">
    <w:abstractNumId w:val="16"/>
  </w:num>
  <w:num w:numId="15">
    <w:abstractNumId w:val="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51"/>
    <w:next w:val="75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52"/>
    <w:link w:val="12"/>
    <w:uiPriority w:val="9"/>
    <w:rPr>
      <w:rFonts w:ascii="Arial" w:hAnsi="Arial" w:eastAsia="Arial" w:cs="Arial"/>
      <w:sz w:val="40"/>
      <w:szCs w:val="40"/>
    </w:rPr>
  </w:style>
  <w:style w:type="paragraph" w:styleId="14">
    <w:name w:val="Heading 2"/>
    <w:basedOn w:val="751"/>
    <w:next w:val="75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52"/>
    <w:link w:val="14"/>
    <w:uiPriority w:val="9"/>
    <w:rPr>
      <w:rFonts w:ascii="Arial" w:hAnsi="Arial" w:eastAsia="Arial" w:cs="Arial"/>
      <w:sz w:val="34"/>
    </w:rPr>
  </w:style>
  <w:style w:type="paragraph" w:styleId="16">
    <w:name w:val="Heading 3"/>
    <w:basedOn w:val="751"/>
    <w:next w:val="751"/>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52"/>
    <w:link w:val="16"/>
    <w:uiPriority w:val="9"/>
    <w:rPr>
      <w:rFonts w:ascii="Arial" w:hAnsi="Arial" w:eastAsia="Arial" w:cs="Arial"/>
      <w:sz w:val="30"/>
      <w:szCs w:val="30"/>
    </w:rPr>
  </w:style>
  <w:style w:type="paragraph" w:styleId="18">
    <w:name w:val="Heading 4"/>
    <w:basedOn w:val="751"/>
    <w:next w:val="75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52"/>
    <w:link w:val="18"/>
    <w:uiPriority w:val="9"/>
    <w:rPr>
      <w:rFonts w:ascii="Arial" w:hAnsi="Arial" w:eastAsia="Arial" w:cs="Arial"/>
      <w:b/>
      <w:bCs/>
      <w:sz w:val="26"/>
      <w:szCs w:val="26"/>
    </w:rPr>
  </w:style>
  <w:style w:type="paragraph" w:styleId="20">
    <w:name w:val="Heading 5"/>
    <w:basedOn w:val="751"/>
    <w:next w:val="75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52"/>
    <w:link w:val="20"/>
    <w:uiPriority w:val="9"/>
    <w:rPr>
      <w:rFonts w:ascii="Arial" w:hAnsi="Arial" w:eastAsia="Arial" w:cs="Arial"/>
      <w:b/>
      <w:bCs/>
      <w:sz w:val="24"/>
      <w:szCs w:val="24"/>
    </w:rPr>
  </w:style>
  <w:style w:type="paragraph" w:styleId="22">
    <w:name w:val="Heading 6"/>
    <w:basedOn w:val="751"/>
    <w:next w:val="75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52"/>
    <w:link w:val="22"/>
    <w:uiPriority w:val="9"/>
    <w:rPr>
      <w:rFonts w:ascii="Arial" w:hAnsi="Arial" w:eastAsia="Arial" w:cs="Arial"/>
      <w:b/>
      <w:bCs/>
      <w:sz w:val="22"/>
      <w:szCs w:val="22"/>
    </w:rPr>
  </w:style>
  <w:style w:type="paragraph" w:styleId="24">
    <w:name w:val="Heading 7"/>
    <w:basedOn w:val="751"/>
    <w:next w:val="75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52"/>
    <w:link w:val="24"/>
    <w:uiPriority w:val="9"/>
    <w:rPr>
      <w:rFonts w:ascii="Arial" w:hAnsi="Arial" w:eastAsia="Arial" w:cs="Arial"/>
      <w:b/>
      <w:bCs/>
      <w:i/>
      <w:iCs/>
      <w:sz w:val="22"/>
      <w:szCs w:val="22"/>
    </w:rPr>
  </w:style>
  <w:style w:type="paragraph" w:styleId="26">
    <w:name w:val="Heading 8"/>
    <w:basedOn w:val="751"/>
    <w:next w:val="75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52"/>
    <w:link w:val="26"/>
    <w:uiPriority w:val="9"/>
    <w:rPr>
      <w:rFonts w:ascii="Arial" w:hAnsi="Arial" w:eastAsia="Arial" w:cs="Arial"/>
      <w:i/>
      <w:iCs/>
      <w:sz w:val="22"/>
      <w:szCs w:val="22"/>
    </w:rPr>
  </w:style>
  <w:style w:type="paragraph" w:styleId="28">
    <w:name w:val="Heading 9"/>
    <w:basedOn w:val="751"/>
    <w:next w:val="75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52"/>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751"/>
    <w:next w:val="751"/>
    <w:link w:val="34"/>
    <w:uiPriority w:val="10"/>
    <w:qFormat/>
    <w:pPr>
      <w:contextualSpacing/>
      <w:spacing w:before="300" w:after="200"/>
    </w:pPr>
    <w:rPr>
      <w:sz w:val="48"/>
      <w:szCs w:val="48"/>
    </w:rPr>
  </w:style>
  <w:style w:type="character" w:styleId="34">
    <w:name w:val="Title Char"/>
    <w:basedOn w:val="752"/>
    <w:link w:val="33"/>
    <w:uiPriority w:val="10"/>
    <w:rPr>
      <w:sz w:val="48"/>
      <w:szCs w:val="48"/>
    </w:rPr>
  </w:style>
  <w:style w:type="paragraph" w:styleId="35">
    <w:name w:val="Subtitle"/>
    <w:basedOn w:val="751"/>
    <w:next w:val="751"/>
    <w:link w:val="36"/>
    <w:uiPriority w:val="11"/>
    <w:qFormat/>
    <w:pPr>
      <w:spacing w:before="200" w:after="200"/>
    </w:pPr>
    <w:rPr>
      <w:sz w:val="24"/>
      <w:szCs w:val="24"/>
    </w:rPr>
  </w:style>
  <w:style w:type="character" w:styleId="36">
    <w:name w:val="Subtitle Char"/>
    <w:basedOn w:val="752"/>
    <w:link w:val="35"/>
    <w:uiPriority w:val="11"/>
    <w:rPr>
      <w:sz w:val="24"/>
      <w:szCs w:val="24"/>
    </w:rPr>
  </w:style>
  <w:style w:type="paragraph" w:styleId="37">
    <w:name w:val="Quote"/>
    <w:basedOn w:val="751"/>
    <w:next w:val="751"/>
    <w:link w:val="38"/>
    <w:uiPriority w:val="29"/>
    <w:qFormat/>
    <w:pPr>
      <w:ind w:left="720" w:right="720"/>
    </w:pPr>
    <w:rPr>
      <w:i/>
    </w:rPr>
  </w:style>
  <w:style w:type="character" w:styleId="38">
    <w:name w:val="Quote Char"/>
    <w:link w:val="37"/>
    <w:uiPriority w:val="29"/>
    <w:rPr>
      <w:i/>
    </w:rPr>
  </w:style>
  <w:style w:type="paragraph" w:styleId="39">
    <w:name w:val="Intense Quote"/>
    <w:basedOn w:val="751"/>
    <w:next w:val="75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52"/>
    <w:link w:val="756"/>
    <w:uiPriority w:val="99"/>
  </w:style>
  <w:style w:type="character" w:styleId="44">
    <w:name w:val="Footer Char"/>
    <w:basedOn w:val="752"/>
    <w:link w:val="758"/>
    <w:uiPriority w:val="99"/>
  </w:style>
  <w:style w:type="paragraph" w:styleId="45">
    <w:name w:val="Caption"/>
    <w:basedOn w:val="751"/>
    <w:next w:val="751"/>
    <w:uiPriority w:val="35"/>
    <w:semiHidden/>
    <w:unhideWhenUsed/>
    <w:qFormat/>
    <w:pPr>
      <w:spacing w:line="276" w:lineRule="auto"/>
    </w:pPr>
    <w:rPr>
      <w:b/>
      <w:bCs/>
      <w:color w:val="4f81bd" w:themeColor="accent1"/>
      <w:sz w:val="18"/>
      <w:szCs w:val="18"/>
    </w:rPr>
  </w:style>
  <w:style w:type="character" w:styleId="46">
    <w:name w:val="Caption Char"/>
    <w:basedOn w:val="45"/>
    <w:link w:val="758"/>
    <w:uiPriority w:val="99"/>
  </w:style>
  <w:style w:type="table" w:styleId="47">
    <w:name w:val="Table Grid"/>
    <w:basedOn w:val="75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5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5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5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5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5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5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5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5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5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5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5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5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5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5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5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5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5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5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5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5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5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5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5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5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5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5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5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5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5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5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5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5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5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5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5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5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5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5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5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5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5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5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5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5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5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5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5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5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5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5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5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5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5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5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5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5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5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5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5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5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5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5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5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5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5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5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5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5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5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5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5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5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5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5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5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52"/>
    <w:uiPriority w:val="99"/>
    <w:unhideWhenUsed/>
    <w:rPr>
      <w:vertAlign w:val="superscript"/>
    </w:rPr>
  </w:style>
  <w:style w:type="paragraph" w:styleId="177">
    <w:name w:val="endnote text"/>
    <w:basedOn w:val="75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52"/>
    <w:uiPriority w:val="99"/>
    <w:semiHidden/>
    <w:unhideWhenUsed/>
    <w:rPr>
      <w:vertAlign w:val="superscript"/>
    </w:rPr>
  </w:style>
  <w:style w:type="paragraph" w:styleId="180">
    <w:name w:val="toc 1"/>
    <w:basedOn w:val="751"/>
    <w:next w:val="751"/>
    <w:uiPriority w:val="39"/>
    <w:unhideWhenUsed/>
    <w:pPr>
      <w:ind w:left="0" w:right="0" w:firstLine="0"/>
      <w:spacing w:after="57"/>
    </w:pPr>
  </w:style>
  <w:style w:type="paragraph" w:styleId="181">
    <w:name w:val="toc 2"/>
    <w:basedOn w:val="751"/>
    <w:next w:val="751"/>
    <w:uiPriority w:val="39"/>
    <w:unhideWhenUsed/>
    <w:pPr>
      <w:ind w:left="283" w:right="0" w:firstLine="0"/>
      <w:spacing w:after="57"/>
    </w:pPr>
  </w:style>
  <w:style w:type="paragraph" w:styleId="182">
    <w:name w:val="toc 3"/>
    <w:basedOn w:val="751"/>
    <w:next w:val="751"/>
    <w:uiPriority w:val="39"/>
    <w:unhideWhenUsed/>
    <w:pPr>
      <w:ind w:left="567" w:right="0" w:firstLine="0"/>
      <w:spacing w:after="57"/>
    </w:pPr>
  </w:style>
  <w:style w:type="paragraph" w:styleId="183">
    <w:name w:val="toc 4"/>
    <w:basedOn w:val="751"/>
    <w:next w:val="751"/>
    <w:uiPriority w:val="39"/>
    <w:unhideWhenUsed/>
    <w:pPr>
      <w:ind w:left="850" w:right="0" w:firstLine="0"/>
      <w:spacing w:after="57"/>
    </w:pPr>
  </w:style>
  <w:style w:type="paragraph" w:styleId="184">
    <w:name w:val="toc 5"/>
    <w:basedOn w:val="751"/>
    <w:next w:val="751"/>
    <w:uiPriority w:val="39"/>
    <w:unhideWhenUsed/>
    <w:pPr>
      <w:ind w:left="1134" w:right="0" w:firstLine="0"/>
      <w:spacing w:after="57"/>
    </w:pPr>
  </w:style>
  <w:style w:type="paragraph" w:styleId="185">
    <w:name w:val="toc 6"/>
    <w:basedOn w:val="751"/>
    <w:next w:val="751"/>
    <w:uiPriority w:val="39"/>
    <w:unhideWhenUsed/>
    <w:pPr>
      <w:ind w:left="1417" w:right="0" w:firstLine="0"/>
      <w:spacing w:after="57"/>
    </w:pPr>
  </w:style>
  <w:style w:type="paragraph" w:styleId="186">
    <w:name w:val="toc 7"/>
    <w:basedOn w:val="751"/>
    <w:next w:val="751"/>
    <w:uiPriority w:val="39"/>
    <w:unhideWhenUsed/>
    <w:pPr>
      <w:ind w:left="1701" w:right="0" w:firstLine="0"/>
      <w:spacing w:after="57"/>
    </w:pPr>
  </w:style>
  <w:style w:type="paragraph" w:styleId="187">
    <w:name w:val="toc 8"/>
    <w:basedOn w:val="751"/>
    <w:next w:val="751"/>
    <w:uiPriority w:val="39"/>
    <w:unhideWhenUsed/>
    <w:pPr>
      <w:ind w:left="1984" w:right="0" w:firstLine="0"/>
      <w:spacing w:after="57"/>
    </w:pPr>
  </w:style>
  <w:style w:type="paragraph" w:styleId="188">
    <w:name w:val="toc 9"/>
    <w:basedOn w:val="751"/>
    <w:next w:val="75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51"/>
    <w:next w:val="751"/>
    <w:uiPriority w:val="99"/>
    <w:unhideWhenUsed/>
    <w:pPr>
      <w:spacing w:after="0" w:afterAutospacing="0"/>
    </w:pPr>
  </w:style>
  <w:style w:type="paragraph" w:styleId="751" w:default="1">
    <w:name w:val="Normal"/>
    <w:qFormat/>
  </w:style>
  <w:style w:type="character" w:styleId="752" w:default="1">
    <w:name w:val="Default Paragraph Font"/>
    <w:uiPriority w:val="1"/>
    <w:semiHidden/>
    <w:unhideWhenUsed/>
  </w:style>
  <w:style w:type="table" w:styleId="753" w:default="1">
    <w:name w:val="Normal Table"/>
    <w:uiPriority w:val="99"/>
    <w:semiHidden/>
    <w:unhideWhenUsed/>
    <w:tblPr>
      <w:tblInd w:w="0" w:type="dxa"/>
      <w:tblCellMar>
        <w:left w:w="108" w:type="dxa"/>
        <w:top w:w="0" w:type="dxa"/>
        <w:right w:w="108" w:type="dxa"/>
        <w:bottom w:w="0" w:type="dxa"/>
      </w:tblCellMar>
    </w:tblPr>
  </w:style>
  <w:style w:type="numbering" w:styleId="754" w:default="1">
    <w:name w:val="No List"/>
    <w:uiPriority w:val="99"/>
    <w:semiHidden/>
    <w:unhideWhenUsed/>
  </w:style>
  <w:style w:type="paragraph" w:styleId="755">
    <w:name w:val="List Paragraph"/>
    <w:basedOn w:val="751"/>
    <w:uiPriority w:val="34"/>
    <w:qFormat/>
    <w:pPr>
      <w:contextualSpacing/>
      <w:ind w:left="720"/>
    </w:pPr>
  </w:style>
  <w:style w:type="paragraph" w:styleId="756">
    <w:name w:val="Header"/>
    <w:basedOn w:val="751"/>
    <w:link w:val="757"/>
    <w:uiPriority w:val="99"/>
    <w:unhideWhenUsed/>
    <w:pPr>
      <w:spacing w:after="0" w:line="240" w:lineRule="auto"/>
      <w:tabs>
        <w:tab w:val="center" w:pos="4819" w:leader="none"/>
        <w:tab w:val="right" w:pos="9638" w:leader="none"/>
      </w:tabs>
    </w:pPr>
  </w:style>
  <w:style w:type="character" w:styleId="757" w:customStyle="1">
    <w:name w:val="Intestazione Carattere"/>
    <w:basedOn w:val="752"/>
    <w:link w:val="756"/>
    <w:uiPriority w:val="99"/>
  </w:style>
  <w:style w:type="paragraph" w:styleId="758">
    <w:name w:val="Footer"/>
    <w:basedOn w:val="751"/>
    <w:link w:val="759"/>
    <w:uiPriority w:val="99"/>
    <w:unhideWhenUsed/>
    <w:pPr>
      <w:spacing w:after="0" w:line="240" w:lineRule="auto"/>
      <w:tabs>
        <w:tab w:val="center" w:pos="4819" w:leader="none"/>
        <w:tab w:val="right" w:pos="9638" w:leader="none"/>
      </w:tabs>
    </w:pPr>
  </w:style>
  <w:style w:type="character" w:styleId="759" w:customStyle="1">
    <w:name w:val="Piè di pagina Carattere"/>
    <w:basedOn w:val="752"/>
    <w:link w:val="758"/>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Dolci</dc:creator>
  <cp:keywords/>
  <dc:description/>
  <cp:revision>18</cp:revision>
  <dcterms:created xsi:type="dcterms:W3CDTF">2022-11-09T12:55:00Z</dcterms:created>
  <dcterms:modified xsi:type="dcterms:W3CDTF">2023-02-15T09:48:17Z</dcterms:modified>
</cp:coreProperties>
</file>