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>
        <w:rPr>
          <w:rFonts w:ascii="Arial" w:hAnsi="Arial" w:cs="Arial"/>
          <w:b/>
          <w:bCs/>
          <w:sz w:val="24"/>
          <w:szCs w:val="24"/>
        </w:rPr>
        <w:t xml:space="preserve">di implementazione del modello di sito comunale “Pacchetto cittadino informato” e dei 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 xml:space="preserve"> – Avviso Misura 1.4.1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 SERVIZIO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agosto 2000, n. 267 (</w:t>
      </w:r>
      <w:r>
        <w:rPr>
          <w:rFonts w:ascii="Arial" w:hAnsi="Arial" w:cs="Arial"/>
          <w:bCs/>
          <w:i/>
          <w:iCs/>
        </w:rPr>
        <w:t xml:space="preserve">Testo unico delle leggi sull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ordinamento degli enti locali</w:t>
      </w:r>
      <w:r>
        <w:rPr>
          <w:rFonts w:ascii="Arial" w:hAnsi="Arial" w:cs="Arial"/>
          <w:bCs/>
        </w:rPr>
        <w:t xml:space="preserve">) e il decreto legislativo 23 giugno 2011, n. 118 (</w:t>
      </w:r>
      <w:r>
        <w:rPr>
          <w:rFonts w:ascii="Arial" w:hAnsi="Arial" w:cs="Arial"/>
          <w:bCs/>
          <w:i/>
          <w:iCs/>
        </w:rPr>
        <w:t xml:space="preserve"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aprile 2016, n. 50 (</w:t>
      </w:r>
      <w:r>
        <w:rPr>
          <w:rFonts w:ascii="Arial" w:hAnsi="Arial" w:cs="Arial"/>
          <w:bCs/>
          <w:i/>
          <w:iCs/>
        </w:rPr>
        <w:t xml:space="preserve">Codice dei contratti pubblici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7 marzo 2005, n. 82 (</w:t>
      </w:r>
      <w:r>
        <w:rPr>
          <w:rFonts w:ascii="Arial" w:hAnsi="Arial" w:cs="Arial"/>
          <w:bCs/>
          <w:i/>
          <w:iCs/>
        </w:rPr>
        <w:t xml:space="preserve">Codice dell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amministrazione digitale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regolamento 12 febbraio 2021, n. 2021/241/UE (</w:t>
      </w:r>
      <w:r>
        <w:rPr>
          <w:rFonts w:ascii="Arial" w:hAnsi="Arial" w:cs="Arial"/>
          <w:bCs/>
          <w:i/>
          <w:iCs/>
        </w:rPr>
        <w:t xml:space="preserve">Regolamento del Parlamento europeo e del Consiglio che istituisce il dispositivo per la ripresa e la resilienza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legge 23 dicembre 1999, n. 488 (</w:t>
      </w:r>
      <w:r>
        <w:rPr>
          <w:rFonts w:ascii="Arial" w:hAnsi="Arial" w:cs="Arial"/>
          <w:bCs/>
          <w:i/>
          <w:iCs/>
        </w:rPr>
        <w:t xml:space="preserve">Legge finanziaria 2000</w:t>
      </w:r>
      <w:r>
        <w:rPr>
          <w:rFonts w:ascii="Arial" w:hAnsi="Arial" w:cs="Arial"/>
          <w:bCs/>
        </w:rPr>
        <w:t xml:space="preserve">) e la legge 27 dicembre 2006, n. 296 (</w:t>
      </w:r>
      <w:r>
        <w:rPr>
          <w:rFonts w:ascii="Arial" w:hAnsi="Arial" w:cs="Arial"/>
          <w:bCs/>
          <w:i/>
          <w:iCs/>
        </w:rPr>
        <w:t xml:space="preserve">Legge finanziaria 2007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legge 13 agosto 2010, n. 136 (</w:t>
      </w:r>
      <w:r>
        <w:rPr>
          <w:rFonts w:ascii="Arial" w:hAnsi="Arial" w:cs="Arial"/>
          <w:bCs/>
          <w:i/>
          <w:iCs/>
        </w:rPr>
        <w:t xml:space="preserve">Piano straordinario contro le mafie, nonché delega al Governo in materia di normativa antimafia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decreto-legge 16 luglio 2020, n. 76 (</w:t>
      </w:r>
      <w:r>
        <w:rPr>
          <w:rFonts w:ascii="Arial" w:hAnsi="Arial" w:cs="Arial"/>
          <w:bCs/>
          <w:i/>
          <w:iCs/>
        </w:rPr>
        <w:t xml:space="preserve">Misure urgenti per la semplificazione e 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innovazione digitale</w:t>
      </w:r>
      <w:r>
        <w:rPr>
          <w:rFonts w:ascii="Arial" w:hAnsi="Arial" w:cs="Arial"/>
          <w:bCs/>
        </w:rPr>
        <w:t xml:space="preserve">) convertito in legge, con modificazioni, dalla legge 11 settembre 2020, n. 120;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Visti: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n. __ del ______________ con il quale il Sindaco ha attribuito al sottoscritto le funzioni di cui agli articoli 107 e 109 del d.lgs. 267/2000 sino al termine del mandato;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Documento unico di programmazione (DUP) 2022-2024, approvato con deliberazione del Consiglio comunale n. __ del ______________ e la relativa nota di aggiornamento approvata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Bilancio di previsione 2022-2024, approvato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Piano esecutivo di gestione (PEG) 2022-2024, approvato con deliberazione della Giunta comunale n. __ del ______________;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Premesso</w:t>
      </w:r>
      <w:r>
        <w:rPr>
          <w:rFonts w:ascii="Arial" w:hAnsi="Arial" w:cs="Arial"/>
          <w:bCs/>
        </w:rPr>
        <w:t xml:space="preserve"> che</w:t>
      </w:r>
      <w:r>
        <w:rPr>
          <w:rFonts w:ascii="Arial" w:hAnsi="Arial" w:cs="Arial"/>
          <w:bCs/>
        </w:rPr>
        <w:t xml:space="preserve"> l’esperienza digitale del cittadino nei servizi pubblici si attua attraverso</w:t>
      </w:r>
      <w:r>
        <w:rPr>
          <w:rFonts w:ascii="Arial" w:hAnsi="Arial" w:cs="Arial"/>
          <w:bCs/>
        </w:rPr>
        <w:t xml:space="preserve">:</w:t>
      </w:r>
      <w:r/>
    </w:p>
    <w:p>
      <w:pPr>
        <w:pStyle w:val="75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siti comunali, cioè l’insieme d</w:t>
      </w:r>
      <w:r>
        <w:rPr>
          <w:rFonts w:ascii="Arial" w:hAnsi="Arial" w:cs="Arial"/>
          <w:bCs/>
        </w:rPr>
        <w:t xml:space="preserve">elle pagine web che possono essere ospitate all’interno di uno dei domini istituzionali riservati per i Comuni italiani da parte dell’Anagrafe dei domini, il cui scopo è far sì che tutti i cittadini ricevono le medesime e più recenti informazioni rispetto:</w:t>
      </w:r>
      <w:r/>
    </w:p>
    <w:p>
      <w:pPr>
        <w:pStyle w:val="755"/>
        <w:numPr>
          <w:ilvl w:val="1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all’amministrazione locale;</w:t>
      </w:r>
      <w:r/>
    </w:p>
    <w:p>
      <w:pPr>
        <w:pStyle w:val="755"/>
        <w:numPr>
          <w:ilvl w:val="1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 servizi che essa eroga al cittadino;</w:t>
      </w:r>
      <w:r/>
    </w:p>
    <w:p>
      <w:pPr>
        <w:pStyle w:val="755"/>
        <w:numPr>
          <w:ilvl w:val="1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alle notizie;</w:t>
      </w:r>
      <w:r/>
    </w:p>
    <w:p>
      <w:pPr>
        <w:pStyle w:val="755"/>
        <w:numPr>
          <w:ilvl w:val="1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 documenti pubblici dell'amministrazione stessa;</w:t>
      </w:r>
      <w:r/>
    </w:p>
    <w:p>
      <w:pPr>
        <w:pStyle w:val="75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servizi digitali per il cittadino erogati dal Comune e fruibili online, cioè attraverso l’i</w:t>
      </w:r>
      <w:r>
        <w:rPr>
          <w:rFonts w:ascii="Arial" w:hAnsi="Arial" w:cs="Arial"/>
          <w:bCs/>
        </w:rPr>
        <w:t xml:space="preserve">nsieme di interfacce digitali, flussi e processi, tipicamente a seguito di un login identificativo, il cui scopo è che il cittadino richieda e si veda erogata una prestazione da parte dell’amministrazione, o effettui un adempimento verso l’amministrazione.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Preso atto che:</w:t>
      </w:r>
      <w:r/>
    </w:p>
    <w:p>
      <w:pPr>
        <w:pStyle w:val="75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Ministero per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innovazione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tecnologica e la transizione digitale (MITD) </w:t>
      </w:r>
      <w:r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invitato i Comuni italiani a presentare </w:t>
      </w:r>
      <w:r>
        <w:rPr>
          <w:rFonts w:ascii="Arial" w:hAnsi="Arial" w:cs="Arial"/>
          <w:bCs/>
        </w:rPr>
        <w:t xml:space="preserve">domanda di partecipazione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pubblico del Piano nazionale di ripresa e resilienza – Missione 1 – Componente 1 – Investimento 1.4 “Servizi e cittadinanza digitale” – Misura 1.4.</w:t>
      </w: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 xml:space="preserve">Esperienza del cittadino nei servizi pubblici</w:t>
      </w:r>
      <w:r>
        <w:rPr>
          <w:rFonts w:ascii="Arial" w:hAnsi="Arial" w:cs="Arial"/>
          <w:bCs/>
        </w:rPr>
        <w:t xml:space="preserve">” Comuni finanziato dall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Unione Europea – NextGenerationEU;</w:t>
      </w:r>
      <w:r/>
    </w:p>
    <w:p>
      <w:pPr>
        <w:pStyle w:val="75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previst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per la Mi</w:t>
      </w:r>
      <w:r>
        <w:rPr>
          <w:rFonts w:ascii="Arial" w:hAnsi="Arial" w:cs="Arial"/>
          <w:bCs/>
        </w:rPr>
        <w:t xml:space="preserve">sura 1.4.</w:t>
      </w: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 (milestone e target europei) è quello di</w:t>
      </w:r>
      <w:r>
        <w:rPr>
          <w:rFonts w:ascii="Arial" w:hAnsi="Arial" w:cs="Arial"/>
          <w:bCs/>
        </w:rPr>
        <w:t xml:space="preserve"> migliorare la qualità e l’utilizzabilità dei servizi pubblici digitali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5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 specifico obiettivo del bando prevede </w:t>
      </w:r>
      <w:r>
        <w:rPr>
          <w:rFonts w:ascii="Arial" w:hAnsi="Arial" w:cs="Arial"/>
          <w:bCs/>
        </w:rPr>
        <w:t xml:space="preserve">l’adesione ai modelli standard di sito comunale e di servizi digitali al fine di migliorare l’esperienza utente dei servizi al cittadino così declinata:</w:t>
      </w:r>
      <w:r/>
    </w:p>
    <w:p>
      <w:pPr>
        <w:pStyle w:val="755"/>
        <w:numPr>
          <w:ilvl w:val="1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sito comunale</w:t>
      </w:r>
      <w:r>
        <w:rPr>
          <w:rFonts w:ascii="Arial" w:hAnsi="Arial" w:cs="Arial"/>
          <w:bCs/>
        </w:rPr>
        <w:t xml:space="preserve">: mettere a disposizione dei cittadini interfacce coerenti, fruibili e accessibili, secondo il modello di sito comunale, e in conformità con le Linee guida emanate ai sensi del d.lgs. 82/2005 e l’e-government benchmark relativamente agli indicatori della “</w:t>
      </w:r>
      <w:r>
        <w:rPr>
          <w:rFonts w:ascii="Arial" w:hAnsi="Arial" w:cs="Arial"/>
          <w:bCs/>
          <w:i/>
          <w:iCs/>
        </w:rPr>
        <w:t xml:space="preserve">user-centricity</w:t>
      </w:r>
      <w:r>
        <w:rPr>
          <w:rFonts w:ascii="Arial" w:hAnsi="Arial" w:cs="Arial"/>
          <w:bCs/>
        </w:rPr>
        <w:t xml:space="preserve">” e della trasparenza, come indicato dall’eGovernment benchmark Method Paper 2020-2023;</w:t>
      </w:r>
      <w:r/>
    </w:p>
    <w:p>
      <w:pPr>
        <w:pStyle w:val="755"/>
        <w:numPr>
          <w:ilvl w:val="1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servizi al cittadino: mettere a disposizione dei cittadini una serie di procedure erogate a livello comunale, tramite interfacce coerenti, fruibili e accessibili, con flussi di servizio quanto più uniformi, trasparenti e utente-centrici;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Ricordato</w:t>
      </w:r>
      <w:r>
        <w:rPr>
          <w:rFonts w:ascii="Arial" w:hAnsi="Arial" w:cs="Arial"/>
          <w:bCs/>
        </w:rPr>
        <w:t xml:space="preserve"> che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ministeriale prevede:</w:t>
      </w:r>
      <w:r/>
    </w:p>
    <w:p>
      <w:pPr>
        <w:pStyle w:val="75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riconoscimento ai Comuni di un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importo forfettario (</w:t>
      </w:r>
      <w:r>
        <w:rPr>
          <w:rFonts w:ascii="Arial" w:hAnsi="Arial" w:cs="Arial"/>
          <w:bCs/>
          <w:i/>
          <w:iCs/>
        </w:rPr>
        <w:t xml:space="preserve">lump sum</w:t>
      </w:r>
      <w:r>
        <w:rPr>
          <w:rFonts w:ascii="Arial" w:hAnsi="Arial" w:cs="Arial"/>
          <w:bCs/>
        </w:rPr>
        <w:t xml:space="preserve">) determinato in funzione:</w:t>
      </w:r>
      <w:r/>
    </w:p>
    <w:p>
      <w:pPr>
        <w:pStyle w:val="755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dell’implementazione del modello di sito comunale “Pacchetto cittadino informato” e </w:t>
      </w:r>
      <w:r>
        <w:rPr>
          <w:rFonts w:ascii="Arial" w:hAnsi="Arial" w:cs="Arial"/>
          <w:bCs/>
        </w:rPr>
        <w:t xml:space="preserve">del numero di servizi </w:t>
      </w:r>
      <w:r>
        <w:rPr>
          <w:rFonts w:ascii="Arial" w:hAnsi="Arial" w:cs="Arial"/>
          <w:bCs/>
        </w:rPr>
        <w:t xml:space="preserve">digitali </w:t>
      </w:r>
      <w:r>
        <w:rPr>
          <w:rFonts w:ascii="Arial" w:hAnsi="Arial" w:cs="Arial"/>
          <w:bCs/>
        </w:rPr>
        <w:t xml:space="preserve">attivati;</w:t>
      </w:r>
      <w:r/>
    </w:p>
    <w:p>
      <w:pPr>
        <w:pStyle w:val="755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della classe di popolazione residente nel Comune;</w:t>
      </w:r>
      <w:r/>
    </w:p>
    <w:p>
      <w:pPr>
        <w:pStyle w:val="75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erogazione </w:t>
      </w:r>
      <w:r>
        <w:rPr>
          <w:rFonts w:ascii="Arial" w:hAnsi="Arial" w:cs="Arial"/>
          <w:bCs/>
        </w:rPr>
        <w:t xml:space="preserve">del contributo forfettario </w:t>
      </w:r>
      <w:r>
        <w:rPr>
          <w:rFonts w:ascii="Arial" w:hAnsi="Arial" w:cs="Arial"/>
          <w:bCs/>
        </w:rPr>
        <w:t xml:space="preserve">in un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unica soluzione a seguito del perfezionament</w:t>
      </w:r>
      <w:r>
        <w:rPr>
          <w:rFonts w:ascii="Arial" w:hAnsi="Arial" w:cs="Arial"/>
          <w:bCs/>
        </w:rPr>
        <w:t xml:space="preserve">o</w:t>
      </w:r>
      <w:r>
        <w:rPr>
          <w:rFonts w:ascii="Arial" w:hAnsi="Arial" w:cs="Arial"/>
          <w:bCs/>
        </w:rPr>
        <w:t xml:space="preserve"> delle attività di integrazione e attivazione dei servizi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5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</w:t>
      </w:r>
      <w:r>
        <w:rPr>
          <w:rFonts w:ascii="Arial" w:hAnsi="Arial" w:cs="Arial"/>
          <w:bCs/>
        </w:rPr>
        <w:t xml:space="preserve">e</w:t>
      </w:r>
      <w:r>
        <w:rPr>
          <w:rFonts w:ascii="Arial" w:hAnsi="Arial" w:cs="Arial"/>
          <w:bCs/>
        </w:rPr>
        <w:t xml:space="preserve"> attività di cui al finanziamento richiesto siano state avviate a decorrere dal 1° </w:t>
      </w:r>
      <w:r>
        <w:rPr>
          <w:rFonts w:ascii="Arial" w:hAnsi="Arial" w:cs="Arial"/>
          <w:bCs/>
        </w:rPr>
        <w:t xml:space="preserve">febbraio </w:t>
      </w:r>
      <w:r>
        <w:rPr>
          <w:rFonts w:ascii="Arial" w:hAnsi="Arial" w:cs="Arial"/>
          <w:bCs/>
        </w:rPr>
        <w:t xml:space="preserve">202</w:t>
      </w:r>
      <w:r>
        <w:rPr>
          <w:rFonts w:ascii="Arial" w:hAnsi="Arial" w:cs="Arial"/>
          <w:bCs/>
        </w:rPr>
        <w:t xml:space="preserve">0</w:t>
      </w:r>
      <w:r>
        <w:rPr>
          <w:rFonts w:ascii="Arial" w:hAnsi="Arial" w:cs="Arial"/>
          <w:bCs/>
        </w:rPr>
        <w:t xml:space="preserve"> con risorse proprie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Comune di _____________________ ha presentato domanda in data _____________ e risulta </w:t>
      </w:r>
      <w:r>
        <w:rPr>
          <w:rFonts w:ascii="Arial" w:hAnsi="Arial" w:cs="Arial"/>
          <w:bCs/>
        </w:rPr>
        <w:t xml:space="preserve">finanziato per € ____________________ con CUP ________________________</w:t>
      </w:r>
      <w:r>
        <w:rPr>
          <w:rFonts w:ascii="Arial" w:hAnsi="Arial" w:cs="Arial"/>
          <w:bCs/>
        </w:rPr>
        <w:t xml:space="preserve">, giusto decreto di finanziamento n. ___ del _________________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che </w:t>
      </w:r>
      <w:r>
        <w:rPr>
          <w:rFonts w:ascii="Arial" w:hAnsi="Arial" w:cs="Arial"/>
          <w:bCs/>
        </w:rPr>
        <w:t xml:space="preserve">gli enti fino a 5.000 abitanti </w:t>
      </w:r>
      <w:r>
        <w:rPr>
          <w:rFonts w:ascii="Arial" w:hAnsi="Arial" w:cs="Arial"/>
          <w:bCs/>
        </w:rPr>
        <w:t xml:space="preserve">dev</w:t>
      </w:r>
      <w:r>
        <w:rPr>
          <w:rFonts w:ascii="Arial" w:hAnsi="Arial" w:cs="Arial"/>
          <w:bCs/>
        </w:rPr>
        <w:t xml:space="preserve">ono</w:t>
      </w:r>
      <w:r>
        <w:rPr>
          <w:rFonts w:ascii="Arial" w:hAnsi="Arial" w:cs="Arial"/>
          <w:bCs/>
        </w:rPr>
        <w:t xml:space="preserve"> contrattualizzare con il fornitore entro 180 giorni dalla data di notifica del decreto di finanziamento</w:t>
      </w:r>
      <w:r>
        <w:rPr>
          <w:rFonts w:ascii="Arial" w:hAnsi="Arial" w:cs="Arial"/>
          <w:bCs/>
        </w:rPr>
        <w:t xml:space="preserve">, mentre quelli con popolazione superiore lo devono fare entro 270 giorni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Halley SUD S.r.l., giusto protocollo n. 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 del _______________, per l’attività di</w:t>
      </w:r>
      <w:r>
        <w:rPr>
          <w:rFonts w:ascii="Arial" w:hAnsi="Arial" w:cs="Arial"/>
          <w:bCs/>
        </w:rPr>
        <w:t xml:space="preserve"> implementazione del modello di sito comunale “Pacchetto cittadino informato” e dei servizi digitali previsti nella richiesta di finanziamento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Verificato, ai fini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26 della l. 488/1999 e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449 della l. 296/2006 che non risultano convenzioni attive stipulate da CONSIP o da centrali regionali di committenza per i servizi in oggetto;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bene da acquisire: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è di importo inferiore a 5.000,00 euro e pertanto non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non è negoziabile sul MEPA, non essendo disponibili bandi attivi;</w:t>
      </w:r>
      <w:r/>
    </w:p>
    <w:p>
      <w:pPr>
        <w:jc w:val="both"/>
        <w:spacing w:after="240"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oppure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servizio da acquisire è di importo pari o superiore a 5.000,00 euro ed inferiore alla soglia comunitaria e pertanto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che: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contrattuale complessivo per il servizio è pari a € ____________________________;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complessivo contrattuale della fornitura sopra specificata è inferiore ad 75.000,00 euro e che, pertanto, è possibile procedere in via autonoma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della fornitura in parola, ai sensi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2, lettera a) del d.l. 76/2020 convertito dalla l. 120/2020, mediante affidamento diretto senza procedimento di gara;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le ragioni del ricorso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diretto sono rinvenibili nella necessità di acquisire la fornitura quanto prima al fine di </w:t>
      </w:r>
      <w:r>
        <w:rPr>
          <w:rFonts w:ascii="Arial" w:hAnsi="Arial" w:cs="Arial"/>
          <w:bCs/>
        </w:rPr>
        <w:t xml:space="preserve">rispettare le scadenze del bando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che, il prezzo di affidamento diretto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in oggetto può ritenersi congruo sulla base di specifica valutazione estimativa operata a cura del </w:t>
      </w:r>
      <w:r>
        <w:rPr>
          <w:rFonts w:ascii="Arial" w:hAnsi="Arial" w:cs="Arial"/>
          <w:bCs/>
        </w:rPr>
        <w:t xml:space="preserve">r</w:t>
      </w:r>
      <w:r>
        <w:rPr>
          <w:rFonts w:ascii="Arial" w:hAnsi="Arial" w:cs="Arial"/>
          <w:bCs/>
        </w:rPr>
        <w:t xml:space="preserve">esponsabile del </w:t>
      </w:r>
      <w:r>
        <w:rPr>
          <w:rFonts w:ascii="Arial" w:hAnsi="Arial" w:cs="Arial"/>
          <w:bCs/>
        </w:rPr>
        <w:t xml:space="preserve">servizio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non sussistono cause di incompatibilità e conflitto d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interesse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42 del d.lgs. 50/2016;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 il CIG di riferimento del presente affidamento è il ……………………………………;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regolamento di contabilità armonizzata;</w:t>
      </w:r>
      <w:r/>
    </w:p>
    <w:p>
      <w:pPr>
        <w:jc w:val="center"/>
        <w:spacing w:after="240" w:line="360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DETERMINA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>
        <w:rPr>
          <w:rFonts w:ascii="Arial" w:hAnsi="Arial" w:cs="Arial"/>
          <w:bCs/>
        </w:rPr>
        <w:t xml:space="preserve">il servizio di </w:t>
      </w:r>
      <w:r>
        <w:rPr>
          <w:rFonts w:ascii="Arial" w:hAnsi="Arial" w:cs="Arial"/>
          <w:bCs/>
        </w:rPr>
        <w:t xml:space="preserve">di implementazione del modello di sito comunale “Pacchetto cittadino informato” e dei servizi digitali previsti nella richiesta di finanziamento </w:t>
      </w:r>
      <w:r>
        <w:rPr>
          <w:rFonts w:ascii="Arial" w:hAnsi="Arial" w:cs="Arial"/>
          <w:bCs/>
        </w:rPr>
        <w:t xml:space="preserve">alla società </w:t>
      </w:r>
      <w:r>
        <w:rPr>
          <w:rFonts w:ascii="Arial" w:hAnsi="Arial" w:cs="Arial"/>
          <w:bCs/>
        </w:rPr>
        <w:t xml:space="preserve">Halley SUD S.r.l</w:t>
      </w:r>
      <w:r>
        <w:rPr>
          <w:rFonts w:ascii="Arial" w:hAnsi="Arial" w:cs="Arial"/>
          <w:bCs/>
        </w:rPr>
        <w:t xml:space="preserve">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di stabilire che le attività </w:t>
      </w:r>
      <w:r>
        <w:rPr>
          <w:rFonts w:ascii="Arial" w:hAnsi="Arial" w:cs="Arial"/>
          <w:bCs/>
        </w:rPr>
        <w:t xml:space="preserve">contrattualizzate </w:t>
      </w:r>
      <w:r>
        <w:rPr>
          <w:rFonts w:ascii="Arial" w:hAnsi="Arial" w:cs="Arial"/>
          <w:bCs/>
        </w:rPr>
        <w:t xml:space="preserve">dovranno essere eseguite entro 2</w:t>
      </w:r>
      <w:r>
        <w:rPr>
          <w:rFonts w:ascii="Arial" w:hAnsi="Arial" w:cs="Arial"/>
          <w:bCs/>
        </w:rPr>
        <w:t xml:space="preserve">7</w:t>
      </w:r>
      <w:r>
        <w:rPr>
          <w:rFonts w:ascii="Arial" w:hAnsi="Arial" w:cs="Arial"/>
          <w:bCs/>
        </w:rPr>
        <w:t xml:space="preserve">0 giorni dall’esecutività del presente atto</w:t>
      </w:r>
      <w:r>
        <w:rPr>
          <w:rFonts w:ascii="Arial" w:hAnsi="Arial" w:cs="Arial"/>
          <w:bCs/>
        </w:rPr>
        <w:t xml:space="preserve"> (per gli enti superiori a 5.000 abitanti il termine è di 360 giorni).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di impegnare, </w:t>
      </w:r>
      <w:r>
        <w:rPr>
          <w:rFonts w:ascii="Arial" w:hAnsi="Arial" w:cs="Arial"/>
        </w:rPr>
        <w:t xml:space="preserve">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</w:t>
      </w:r>
      <w:r>
        <w:rPr>
          <w:rFonts w:ascii="Arial" w:hAnsi="Arial" w:cs="Arial"/>
        </w:rPr>
        <w:t xml:space="preserve">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di accertare, ai sensi del comma 8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183 del d.lgs. 267/2000 che il programma dei conseguenti pagamenti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impegno di spesa di cui al presente provvedimento è compatibile con i relativi stanziamenti di cassa del bilancio e con le regole di finanza pubblica.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di comunicare ai terzi interessati il presente provvedimento,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191 del d.lgs. 267/2000, specificando che le somme da corrispondere saranno liquidate su presentazione di regolare fattura entro trenta giorni dal ricevimento della stessa, previa verifica del rispetto degli </w:t>
      </w:r>
      <w:r>
        <w:rPr>
          <w:rFonts w:ascii="Arial" w:hAnsi="Arial" w:cs="Arial"/>
        </w:rPr>
        <w:t xml:space="preserve">impegni contrattualmente assunti.</w:t>
      </w:r>
      <w:r>
        <w:rPr>
          <w:rFonts w:ascii="Arial" w:hAnsi="Arial" w:cs="Arial"/>
        </w:rPr>
        <w:br/>
        <w:t xml:space="preserve">La fattura (inviata esclusivamente in modalità elettronica) dovrà: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essere intestata al Comune di 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Servizio _____________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riportare al suo interno: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estremi della presente determinazione (numero e data);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IPA del </w:t>
      </w:r>
      <w:r>
        <w:rPr>
          <w:rFonts w:ascii="Arial" w:hAnsi="Arial" w:cs="Arial"/>
        </w:rPr>
        <w:t xml:space="preserve">Servizio 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CIG (codice identificativo di gara)</w:t>
      </w:r>
      <w:r>
        <w:rPr>
          <w:rFonts w:ascii="Arial" w:hAnsi="Arial" w:cs="Arial"/>
        </w:rPr>
        <w:t xml:space="preserve"> e il codice CUP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contenere in allegato il conto corrente dedicato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3 della l. 136/2019.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 di dare atto che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esecutività del presente provvedimento è subordinata all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apposizione del visto di regolarità contabile attestante la copertura finanziaria (articolo 183, comma 7 del d.lgs. 267/2000).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134" w:bottom="1134" w:left="1134" w:header="737" w:footer="96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132991</wp:posOffset>
              </wp:positionV>
              <wp:extent cx="594412" cy="175275"/>
              <wp:effectExtent l="0" t="0" r="0" b="0"/>
              <wp:wrapTight wrapText="bothSides">
                <wp:wrapPolygon edited="1">
                  <wp:start x="0" y="0"/>
                  <wp:lineTo x="0" y="18783"/>
                  <wp:lineTo x="20769" y="18783"/>
                  <wp:lineTo x="20769" y="0"/>
                  <wp:lineTo x="0" y="0"/>
                </wp:wrapPolygon>
              </wp:wrapTight>
              <wp:docPr id="1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412" cy="17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so-position-horizontal:center;mso-position-vertical-relative:text;margin-top:10.5pt;mso-position-vertical:absolute;width:46.8pt;height:13.8pt;mso-wrap-distance-left:9.0pt;mso-wrap-distance-top:0.0pt;mso-wrap-distance-right:9.0pt;mso-wrap-distance-bottom:0.0pt;" wrapcoords="0 0 0 86958 96153 86958 96153 0 0 0" stroked="false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310515</wp:posOffset>
              </wp:positionV>
              <wp:extent cx="350550" cy="320068"/>
              <wp:effectExtent l="0" t="0" r="0" b="3810"/>
              <wp:wrapTight wrapText="bothSides">
                <wp:wrapPolygon edited="1">
                  <wp:start x="0" y="0"/>
                  <wp:lineTo x="0" y="20571"/>
                  <wp:lineTo x="19957" y="20571"/>
                  <wp:lineTo x="19957" y="0"/>
                  <wp:lineTo x="0" y="0"/>
                </wp:wrapPolygon>
              </wp:wrapTight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350550" cy="320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margin;mso-position-horizontal:center;mso-position-vertical-relative:text;margin-top:24.4pt;mso-position-vertical:absolute;width:27.6pt;height:25.2pt;mso-wrap-distance-left:9.0pt;mso-wrap-distance-top:0.0pt;mso-wrap-distance-right:9.0pt;mso-wrap-distance-bottom:0.0pt;" wrapcoords="0 0 0 95236 92394 95236 92394 0 0 0" stroked="false">
              <v:path textboxrect="0,0,0,0"/>
              <w10:wrap type="tight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1"/>
    <w:next w:val="75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1"/>
    <w:next w:val="75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1"/>
    <w:next w:val="75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1"/>
    <w:next w:val="75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1"/>
    <w:next w:val="75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1"/>
    <w:next w:val="75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1"/>
    <w:next w:val="75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1"/>
    <w:next w:val="75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1"/>
    <w:next w:val="75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1"/>
    <w:next w:val="75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2"/>
    <w:link w:val="33"/>
    <w:uiPriority w:val="10"/>
    <w:rPr>
      <w:sz w:val="48"/>
      <w:szCs w:val="48"/>
    </w:rPr>
  </w:style>
  <w:style w:type="paragraph" w:styleId="35">
    <w:name w:val="Subtitle"/>
    <w:basedOn w:val="751"/>
    <w:next w:val="75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2"/>
    <w:link w:val="35"/>
    <w:uiPriority w:val="11"/>
    <w:rPr>
      <w:sz w:val="24"/>
      <w:szCs w:val="24"/>
    </w:rPr>
  </w:style>
  <w:style w:type="paragraph" w:styleId="37">
    <w:name w:val="Quote"/>
    <w:basedOn w:val="751"/>
    <w:next w:val="75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1"/>
    <w:next w:val="75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2"/>
    <w:link w:val="756"/>
    <w:uiPriority w:val="99"/>
  </w:style>
  <w:style w:type="character" w:styleId="44">
    <w:name w:val="Footer Char"/>
    <w:basedOn w:val="752"/>
    <w:link w:val="758"/>
    <w:uiPriority w:val="99"/>
  </w:style>
  <w:style w:type="paragraph" w:styleId="45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8"/>
    <w:uiPriority w:val="99"/>
  </w:style>
  <w:style w:type="table" w:styleId="47">
    <w:name w:val="Table Grid"/>
    <w:basedOn w:val="7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2"/>
    <w:uiPriority w:val="99"/>
    <w:unhideWhenUsed/>
    <w:rPr>
      <w:vertAlign w:val="superscript"/>
    </w:rPr>
  </w:style>
  <w:style w:type="paragraph" w:styleId="177">
    <w:name w:val="endnote text"/>
    <w:basedOn w:val="75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2"/>
    <w:uiPriority w:val="99"/>
    <w:semiHidden/>
    <w:unhideWhenUsed/>
    <w:rPr>
      <w:vertAlign w:val="superscript"/>
    </w:rPr>
  </w:style>
  <w:style w:type="paragraph" w:styleId="180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paragraph" w:styleId="755">
    <w:name w:val="List Paragraph"/>
    <w:basedOn w:val="751"/>
    <w:uiPriority w:val="34"/>
    <w:qFormat/>
    <w:pPr>
      <w:contextualSpacing/>
      <w:ind w:left="720"/>
    </w:pPr>
  </w:style>
  <w:style w:type="paragraph" w:styleId="756">
    <w:name w:val="Header"/>
    <w:basedOn w:val="751"/>
    <w:link w:val="757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57" w:customStyle="1">
    <w:name w:val="Intestazione Carattere"/>
    <w:basedOn w:val="752"/>
    <w:link w:val="756"/>
    <w:uiPriority w:val="99"/>
  </w:style>
  <w:style w:type="paragraph" w:styleId="758">
    <w:name w:val="Footer"/>
    <w:basedOn w:val="751"/>
    <w:link w:val="759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59" w:customStyle="1">
    <w:name w:val="Piè di pagina Carattere"/>
    <w:basedOn w:val="752"/>
    <w:link w:val="7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revision>16</cp:revision>
  <dcterms:created xsi:type="dcterms:W3CDTF">2022-11-09T12:55:00Z</dcterms:created>
  <dcterms:modified xsi:type="dcterms:W3CDTF">2023-02-15T09:46:25Z</dcterms:modified>
</cp:coreProperties>
</file>