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Determina di affidamento del </w:t>
      </w:r>
      <w:r>
        <w:rPr>
          <w:rFonts w:ascii="Arial" w:hAnsi="Arial" w:cs="Arial"/>
          <w:b/>
          <w:bCs/>
          <w:sz w:val="24"/>
          <w:szCs w:val="24"/>
        </w:rPr>
        <w:t xml:space="preserve">servizio di implementazione del Piano di migrazione al Cloud (comprensivo delle attività di </w:t>
      </w:r>
      <w:r>
        <w:rPr>
          <w:rFonts w:ascii="Arial" w:hAnsi="Arial" w:cs="Arial"/>
          <w:b/>
          <w:bCs/>
          <w:sz w:val="24"/>
          <w:szCs w:val="24"/>
        </w:rPr>
        <w:t xml:space="preserve">assesment</w:t>
      </w:r>
      <w:r>
        <w:rPr>
          <w:rFonts w:ascii="Arial" w:hAnsi="Arial" w:cs="Arial"/>
          <w:b/>
          <w:bCs/>
          <w:sz w:val="24"/>
          <w:szCs w:val="24"/>
        </w:rPr>
        <w:t xml:space="preserve">, pianificazione della migrazione, esecuzione e completamento della migrazione, formazione)</w:t>
      </w:r>
      <w:r>
        <w:rPr>
          <w:rFonts w:ascii="Arial" w:hAnsi="Arial" w:cs="Arial"/>
          <w:b/>
          <w:bCs/>
          <w:sz w:val="24"/>
          <w:szCs w:val="24"/>
        </w:rPr>
        <w:t xml:space="preserve"> – Avviso Misura 1.2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 SERVIZIO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agosto 2000, n. 267 (</w:t>
      </w:r>
      <w:r>
        <w:rPr>
          <w:rFonts w:ascii="Arial" w:hAnsi="Arial" w:cs="Arial"/>
          <w:bCs/>
          <w:i/>
          <w:iCs/>
        </w:rPr>
        <w:t xml:space="preserve">Testo unico delle leggi sull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ordinamento degli enti locali</w:t>
      </w:r>
      <w:r>
        <w:rPr>
          <w:rFonts w:ascii="Arial" w:hAnsi="Arial" w:cs="Arial"/>
          <w:bCs/>
        </w:rPr>
        <w:t xml:space="preserve">) e il decreto legislativo 23 giugno 2011, n. 118 (</w:t>
      </w:r>
      <w:r>
        <w:rPr>
          <w:rFonts w:ascii="Arial" w:hAnsi="Arial" w:cs="Arial"/>
          <w:bCs/>
          <w:i/>
          <w:iCs/>
        </w:rPr>
        <w:t xml:space="preserve"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aprile 2016, n. 50 (</w:t>
      </w:r>
      <w:r>
        <w:rPr>
          <w:rFonts w:ascii="Arial" w:hAnsi="Arial" w:cs="Arial"/>
          <w:bCs/>
          <w:i/>
          <w:iCs/>
        </w:rPr>
        <w:t xml:space="preserve">Codice dei contratti pubblici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7 marzo 2005, n. 82 (</w:t>
      </w:r>
      <w:r>
        <w:rPr>
          <w:rFonts w:ascii="Arial" w:hAnsi="Arial" w:cs="Arial"/>
          <w:bCs/>
          <w:i/>
          <w:iCs/>
        </w:rPr>
        <w:t xml:space="preserve">Codice dell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amministrazione digitale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regolamento 12 febbraio 2021, n. 2021/241/UE (</w:t>
      </w:r>
      <w:r>
        <w:rPr>
          <w:rFonts w:ascii="Arial" w:hAnsi="Arial" w:cs="Arial"/>
          <w:bCs/>
          <w:i/>
          <w:iCs/>
        </w:rPr>
        <w:t xml:space="preserve">Regolamento del Parlamento europeo e del Consiglio che istituisce il dispositivo per la ripresa e la resilienza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legge 23 dicembre 1999, n. 488 (</w:t>
      </w:r>
      <w:r>
        <w:rPr>
          <w:rFonts w:ascii="Arial" w:hAnsi="Arial" w:cs="Arial"/>
          <w:bCs/>
          <w:i/>
          <w:iCs/>
        </w:rPr>
        <w:t xml:space="preserve">Legge finanziaria 2000</w:t>
      </w:r>
      <w:r>
        <w:rPr>
          <w:rFonts w:ascii="Arial" w:hAnsi="Arial" w:cs="Arial"/>
          <w:bCs/>
        </w:rPr>
        <w:t xml:space="preserve">) e la legge 27 dicembre 2006, n. 296 (</w:t>
      </w:r>
      <w:r>
        <w:rPr>
          <w:rFonts w:ascii="Arial" w:hAnsi="Arial" w:cs="Arial"/>
          <w:bCs/>
          <w:i/>
          <w:iCs/>
        </w:rPr>
        <w:t xml:space="preserve">Legge finanziaria 2007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legge 13 agosto 2010, n. 136 (</w:t>
      </w:r>
      <w:r>
        <w:rPr>
          <w:rFonts w:ascii="Arial" w:hAnsi="Arial" w:cs="Arial"/>
          <w:bCs/>
          <w:i/>
          <w:iCs/>
        </w:rPr>
        <w:t xml:space="preserve">Piano straordinario contro le mafie, nonché delega al Governo in materia di normativa antimafia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decreto-legge 16 luglio 2020, n. 76 (</w:t>
      </w:r>
      <w:r>
        <w:rPr>
          <w:rFonts w:ascii="Arial" w:hAnsi="Arial" w:cs="Arial"/>
          <w:bCs/>
          <w:i/>
          <w:iCs/>
        </w:rPr>
        <w:t xml:space="preserve">Misure urgenti per la semplificazione e 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innovazione digitale</w:t>
      </w:r>
      <w:r>
        <w:rPr>
          <w:rFonts w:ascii="Arial" w:hAnsi="Arial" w:cs="Arial"/>
          <w:bCs/>
        </w:rPr>
        <w:t xml:space="preserve">) convertito in legge, con modificazioni, dalla legge 11 settembre 2020, n. 120;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Visti: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n. __ del ______________ con il quale il Sindaco ha attribuito al sottoscritto le funzioni di cui agli articoli 107 e 109 del d.lgs. 267/2000 sino al termine del mandato;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Documento unico di programmazione (DUP) 2022-2024, approvato con deliberazione del Consiglio comunale n. __ del ______________ e la relativa nota di aggiornamento approvata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Bilancio di previsione 2022-2024, approvato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Piano esecutivo di gestione (PEG) 2022-2024, approvato con deliberazione della Giunta comunale n. __ del ______________;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Premesso</w:t>
      </w:r>
      <w:r>
        <w:rPr>
          <w:rFonts w:ascii="Arial" w:hAnsi="Arial" w:cs="Arial"/>
          <w:bCs/>
        </w:rPr>
        <w:t xml:space="preserve"> che</w:t>
      </w:r>
      <w:r>
        <w:rPr>
          <w:rFonts w:ascii="Arial" w:hAnsi="Arial" w:cs="Arial"/>
          <w:bCs/>
        </w:rPr>
        <w:t xml:space="preserve">:</w:t>
      </w:r>
      <w:r/>
    </w:p>
    <w:p>
      <w:pPr>
        <w:pStyle w:val="757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l’articolo 35 del d.l. 76/2020 convertito dalla l. 120/2020 ha previsto l’obbligo per le PA di migrare i propri CED verso ambienti </w:t>
      </w:r>
      <w:r>
        <w:rPr>
          <w:rFonts w:ascii="Arial" w:hAnsi="Arial" w:cs="Arial"/>
          <w:bCs/>
        </w:rPr>
        <w:t xml:space="preserve">C</w:t>
      </w:r>
      <w:r>
        <w:rPr>
          <w:rFonts w:ascii="Arial" w:hAnsi="Arial" w:cs="Arial"/>
          <w:bCs/>
        </w:rPr>
        <w:t xml:space="preserve">loud;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Preso atto che:</w:t>
      </w:r>
      <w:r/>
    </w:p>
    <w:p>
      <w:pPr>
        <w:pStyle w:val="757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Ministero per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innovazione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tecnologica e la transizione digitale (MITD) </w:t>
      </w:r>
      <w:r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invitato i Comuni italiani a presentare </w:t>
      </w:r>
      <w:r>
        <w:rPr>
          <w:rFonts w:ascii="Arial" w:hAnsi="Arial" w:cs="Arial"/>
          <w:bCs/>
        </w:rPr>
        <w:t xml:space="preserve">domanda di partecipazione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pubblico del Piano nazionale di ripresa e resilienza – Missione 1 – Componente 1 – Investimento 1.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 “</w:t>
      </w:r>
      <w:r>
        <w:rPr>
          <w:rFonts w:ascii="Arial" w:hAnsi="Arial" w:cs="Arial"/>
          <w:bCs/>
        </w:rPr>
        <w:t xml:space="preserve">Abilitazione al </w:t>
      </w:r>
      <w:r>
        <w:rPr>
          <w:rFonts w:ascii="Arial" w:hAnsi="Arial" w:cs="Arial"/>
          <w:bCs/>
        </w:rPr>
        <w:t xml:space="preserve">C</w:t>
      </w:r>
      <w:r>
        <w:rPr>
          <w:rFonts w:ascii="Arial" w:hAnsi="Arial" w:cs="Arial"/>
          <w:bCs/>
        </w:rPr>
        <w:t xml:space="preserve">loud per le PA locali</w:t>
      </w:r>
      <w:r>
        <w:rPr>
          <w:rFonts w:ascii="Arial" w:hAnsi="Arial" w:cs="Arial"/>
          <w:bCs/>
        </w:rPr>
        <w:t xml:space="preserve">” Comuni finanziato dall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Unione Europea – NextGenerationEU;</w:t>
      </w:r>
      <w:r/>
    </w:p>
    <w:p>
      <w:pPr>
        <w:pStyle w:val="757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finale </w:t>
      </w:r>
      <w:r>
        <w:rPr>
          <w:rFonts w:ascii="Arial" w:hAnsi="Arial" w:cs="Arial"/>
          <w:bCs/>
        </w:rPr>
        <w:t xml:space="preserve">per </w:t>
      </w:r>
      <w:r>
        <w:rPr>
          <w:rFonts w:ascii="Arial" w:hAnsi="Arial" w:cs="Arial"/>
          <w:bCs/>
        </w:rPr>
        <w:t xml:space="preserve">l’investimento </w:t>
      </w:r>
      <w:r>
        <w:rPr>
          <w:rFonts w:ascii="Arial" w:hAnsi="Arial" w:cs="Arial"/>
          <w:bCs/>
        </w:rPr>
        <w:t xml:space="preserve">1.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 (milestone e target europei) è quello di </w:t>
      </w:r>
      <w:r>
        <w:rPr>
          <w:rFonts w:ascii="Arial" w:hAnsi="Arial" w:cs="Arial"/>
          <w:bCs/>
        </w:rPr>
        <w:t xml:space="preserve">portare alla migrazione di 12.464 pubbliche amministrazioni locali verso ambienti </w:t>
      </w:r>
      <w:r>
        <w:rPr>
          <w:rFonts w:ascii="Arial" w:hAnsi="Arial" w:cs="Arial"/>
          <w:bCs/>
        </w:rPr>
        <w:t xml:space="preserve">C</w:t>
      </w:r>
      <w:r>
        <w:rPr>
          <w:rFonts w:ascii="Arial" w:hAnsi="Arial" w:cs="Arial"/>
          <w:bCs/>
        </w:rPr>
        <w:t xml:space="preserve">loud certificati; tale migrazione sarà realizzata quando la verifica di tutti i sistemi e dataset e della migrazione delle applicazioni incluse in ciascun piano di migrazione sarà stata effettuata con esito positivo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57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gli interventi finanziabili consistono nell’</w:t>
      </w:r>
      <w:bookmarkStart w:id="0" w:name="_Hlk118983480"/>
      <w:r>
        <w:rPr>
          <w:rFonts w:ascii="Arial" w:hAnsi="Arial" w:cs="Arial"/>
          <w:bCs/>
        </w:rPr>
        <w:t xml:space="preserve">implementazione di un Piano di migrazione al </w:t>
      </w:r>
      <w:r>
        <w:rPr>
          <w:rFonts w:ascii="Arial" w:hAnsi="Arial" w:cs="Arial"/>
          <w:bCs/>
        </w:rPr>
        <w:t xml:space="preserve">C</w:t>
      </w:r>
      <w:r>
        <w:rPr>
          <w:rFonts w:ascii="Arial" w:hAnsi="Arial" w:cs="Arial"/>
          <w:bCs/>
        </w:rPr>
        <w:t xml:space="preserve">loud (comprensivo delle attività di assessment, pianificazione della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migrazione, esecuzione e completamento della migrazione, formazione)</w:t>
      </w:r>
      <w:bookmarkEnd w:id="0"/>
      <w:r>
        <w:rPr>
          <w:rFonts w:ascii="Arial" w:hAnsi="Arial" w:cs="Arial"/>
          <w:bCs/>
        </w:rPr>
        <w:t xml:space="preserve"> delle basi dati e delle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applicazioni e servizi dell’amministrazione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Ricordato</w:t>
      </w:r>
      <w:r>
        <w:rPr>
          <w:rFonts w:ascii="Arial" w:hAnsi="Arial" w:cs="Arial"/>
          <w:bCs/>
        </w:rPr>
        <w:t xml:space="preserve"> che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ministeriale prevede:</w:t>
      </w:r>
      <w:r/>
    </w:p>
    <w:p>
      <w:pPr>
        <w:pStyle w:val="757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riconoscimento ai Comuni di </w:t>
      </w:r>
      <w:r>
        <w:rPr>
          <w:rFonts w:ascii="Arial" w:hAnsi="Arial" w:cs="Arial"/>
          <w:bCs/>
        </w:rPr>
        <w:t xml:space="preserve">un importo</w:t>
      </w:r>
      <w:r>
        <w:rPr>
          <w:rFonts w:ascii="Arial" w:hAnsi="Arial" w:cs="Arial"/>
          <w:bCs/>
        </w:rPr>
        <w:t xml:space="preserve"> forfettario (</w:t>
      </w:r>
      <w:r>
        <w:rPr>
          <w:rFonts w:ascii="Arial" w:hAnsi="Arial" w:cs="Arial"/>
          <w:bCs/>
          <w:i/>
          <w:iCs/>
        </w:rPr>
        <w:t xml:space="preserve">lump sum</w:t>
      </w:r>
      <w:r>
        <w:rPr>
          <w:rFonts w:ascii="Arial" w:hAnsi="Arial" w:cs="Arial"/>
          <w:bCs/>
        </w:rPr>
        <w:t xml:space="preserve">) determinato in funzione:</w:t>
      </w:r>
      <w:r/>
    </w:p>
    <w:p>
      <w:pPr>
        <w:pStyle w:val="757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delle modalità di migrazione al Cloud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57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della classe di popolazione residente nel Comune;</w:t>
      </w:r>
      <w:r/>
    </w:p>
    <w:p>
      <w:pPr>
        <w:pStyle w:val="757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erogazione </w:t>
      </w:r>
      <w:r>
        <w:rPr>
          <w:rFonts w:ascii="Arial" w:hAnsi="Arial" w:cs="Arial"/>
          <w:bCs/>
        </w:rPr>
        <w:t xml:space="preserve">del contributo forfettario </w:t>
      </w:r>
      <w:r>
        <w:rPr>
          <w:rFonts w:ascii="Arial" w:hAnsi="Arial" w:cs="Arial"/>
          <w:bCs/>
        </w:rPr>
        <w:t xml:space="preserve">in un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unica soluzione a seguito del </w:t>
      </w:r>
      <w:r>
        <w:rPr>
          <w:rFonts w:ascii="Arial" w:hAnsi="Arial" w:cs="Arial"/>
          <w:bCs/>
        </w:rPr>
        <w:t xml:space="preserve">perfezionamento</w:t>
      </w:r>
      <w:r>
        <w:rPr>
          <w:rFonts w:ascii="Arial" w:hAnsi="Arial" w:cs="Arial"/>
          <w:bCs/>
        </w:rPr>
        <w:t xml:space="preserve"> delle attività</w:t>
      </w:r>
      <w:r>
        <w:rPr>
          <w:rFonts w:ascii="Arial" w:hAnsi="Arial" w:cs="Arial"/>
          <w:bCs/>
        </w:rPr>
        <w:t xml:space="preserve"> previste dal bando a partire dal 15 ottobre 2022</w:t>
      </w:r>
      <w:r>
        <w:rPr>
          <w:rFonts w:ascii="Arial" w:hAnsi="Arial" w:cs="Arial"/>
          <w:bCs/>
        </w:rPr>
        <w:t xml:space="preserve">;</w:t>
      </w:r>
      <w:r/>
    </w:p>
    <w:p>
      <w:pPr>
        <w:pStyle w:val="757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</w:t>
      </w:r>
      <w:r>
        <w:rPr>
          <w:rFonts w:ascii="Arial" w:hAnsi="Arial" w:cs="Arial"/>
          <w:bCs/>
        </w:rPr>
        <w:t xml:space="preserve">e</w:t>
      </w:r>
      <w:r>
        <w:rPr>
          <w:rFonts w:ascii="Arial" w:hAnsi="Arial" w:cs="Arial"/>
          <w:bCs/>
        </w:rPr>
        <w:t xml:space="preserve"> attività di cui al finanziamento richiesto siano state avviate a decorrere dal 1° </w:t>
      </w:r>
      <w:r>
        <w:rPr>
          <w:rFonts w:ascii="Arial" w:hAnsi="Arial" w:cs="Arial"/>
          <w:bCs/>
        </w:rPr>
        <w:t xml:space="preserve">febbraio </w:t>
      </w:r>
      <w:r>
        <w:rPr>
          <w:rFonts w:ascii="Arial" w:hAnsi="Arial" w:cs="Arial"/>
          <w:bCs/>
        </w:rPr>
        <w:t xml:space="preserve">202</w:t>
      </w:r>
      <w:r>
        <w:rPr>
          <w:rFonts w:ascii="Arial" w:hAnsi="Arial" w:cs="Arial"/>
          <w:bCs/>
        </w:rPr>
        <w:t xml:space="preserve">0</w:t>
      </w:r>
      <w:r>
        <w:rPr>
          <w:rFonts w:ascii="Arial" w:hAnsi="Arial" w:cs="Arial"/>
          <w:bCs/>
        </w:rPr>
        <w:t xml:space="preserve"> con risorse proprie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Comune di _____________________ ha presentato domanda in data _____________ e risulta </w:t>
      </w:r>
      <w:r>
        <w:rPr>
          <w:rFonts w:ascii="Arial" w:hAnsi="Arial" w:cs="Arial"/>
          <w:bCs/>
        </w:rPr>
        <w:t xml:space="preserve">finanziato per € ____________________ con CUP ________________________</w:t>
      </w:r>
      <w:r>
        <w:rPr>
          <w:rFonts w:ascii="Arial" w:hAnsi="Arial" w:cs="Arial"/>
          <w:bCs/>
        </w:rPr>
        <w:t xml:space="preserve">, giusto decreto di finanziamento n. ___ del _________________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Rammentato, in ultimo, che il </w:t>
      </w:r>
      <w:r>
        <w:rPr>
          <w:rFonts w:ascii="Arial" w:hAnsi="Arial" w:cs="Arial"/>
          <w:bCs/>
        </w:rPr>
        <w:t xml:space="preserve">Comune potrà effettuare la migrazione </w:t>
      </w:r>
      <w:r>
        <w:rPr>
          <w:rFonts w:ascii="Arial" w:hAnsi="Arial" w:cs="Arial"/>
          <w:bCs/>
        </w:rPr>
        <w:t xml:space="preserve">del numero di servizi richiesti </w:t>
      </w:r>
      <w:r>
        <w:rPr>
          <w:rFonts w:ascii="Arial" w:hAnsi="Arial" w:cs="Arial"/>
          <w:bCs/>
        </w:rPr>
        <w:t xml:space="preserve">avvalendosi dei due modelli di migrazione come delineato nella Strategia Nazionale per il Cloud</w:t>
      </w:r>
      <w:r>
        <w:rPr>
          <w:rFonts w:ascii="Arial" w:hAnsi="Arial" w:cs="Arial"/>
          <w:bCs/>
        </w:rPr>
        <w:t xml:space="preserve">:</w:t>
      </w:r>
      <w:r/>
    </w:p>
    <w:p>
      <w:pPr>
        <w:pStyle w:val="757"/>
        <w:numPr>
          <w:ilvl w:val="0"/>
          <w:numId w:val="18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Trasferimento in sicurezza dell’infrastruttura IT;</w:t>
      </w:r>
      <w:r/>
    </w:p>
    <w:p>
      <w:pPr>
        <w:pStyle w:val="757"/>
        <w:numPr>
          <w:ilvl w:val="0"/>
          <w:numId w:val="18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Aggiornamento in sicurezza di applicazioni in Cloud;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processo di migrazione si intende concluso con esito positivo al momento in cui l’Ente effettuerà comunicazione, attraverso la piattaforma, del rilascio in esercizio del singolo </w:t>
      </w:r>
      <w:r>
        <w:rPr>
          <w:rFonts w:ascii="Arial" w:hAnsi="Arial" w:cs="Arial"/>
          <w:bCs/>
        </w:rPr>
        <w:t xml:space="preserve">servizio inviando il Questionario di Assessment con lo stato “Completato” per il servizio in oggetto, e la verifica di tutti i sistemi e dataset e della migrazione delle applicazioni incluse nel Piano di migrazione sarà stata effettuata con esito positivo;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che l’ente deve contrattualizzare con il fornitore entro 180 giorni dalla data di notifica del decreto di finanziamento;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Halley SUD S.r.l., giusto protocollo n. 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 del _______________, per l’attività di </w:t>
      </w:r>
      <w:r>
        <w:rPr>
          <w:rFonts w:ascii="Arial" w:hAnsi="Arial" w:cs="Arial"/>
          <w:bCs/>
        </w:rPr>
        <w:t xml:space="preserve">implementazione del Piano di migrazione al Cloud (comprensivo delle attività di assessment, pianificazione della migrazione, esecuzione e completamento della migrazione, formazione)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Verificato, ai fini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26 della l. 488/1999 e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449 della l. 296/2006 che non risultano convenzioni attive stipulate da CONSIP o da centrali regionali di committenza per i servizi in oggetto;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bene da acquisire: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è di importo inferiore a 5.000,00 euro e pertanto non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non è negoziabile sul MEPA, non essendo disponibili bandi attivi;</w:t>
      </w:r>
      <w:r/>
    </w:p>
    <w:p>
      <w:pPr>
        <w:jc w:val="both"/>
        <w:spacing w:after="240"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oppure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servizio da acquisire è di importo pari o superiore a 5.000,00 euro ed inferiore alla soglia comunitaria e pertanto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che: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contrattuale complessivo per il servizio è pari a € ____________________________;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complessivo contrattuale della fornitura sopra specificata è inferiore ad 75.000,00 euro e che, pertanto, è possibile procedere in via autonoma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della fornitura in parola, ai sensi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2, lettera a) del d.l. 76/2020 convertito dalla l. 120/2020, mediante affidamento diretto senza procedimento di gara;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le ragioni del ricorso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diretto sono rinvenibili nella necessità di acquisire </w:t>
      </w:r>
      <w:r>
        <w:rPr>
          <w:rFonts w:ascii="Arial" w:hAnsi="Arial" w:cs="Arial"/>
          <w:bCs/>
        </w:rPr>
        <w:t xml:space="preserve">il servizio </w:t>
      </w:r>
      <w:r>
        <w:rPr>
          <w:rFonts w:ascii="Arial" w:hAnsi="Arial" w:cs="Arial"/>
          <w:bCs/>
        </w:rPr>
        <w:t xml:space="preserve">quanto prima al fine di </w:t>
      </w:r>
      <w:r>
        <w:rPr>
          <w:rFonts w:ascii="Arial" w:hAnsi="Arial" w:cs="Arial"/>
          <w:bCs/>
        </w:rPr>
        <w:t xml:space="preserve">rispettare i tempi del cronoprogramma del PNRR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che, il prezzo di affidamento diretto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in oggetto può ritenersi congruo sulla base di specifica valutazione estimativa operata a cura del </w:t>
      </w:r>
      <w:r>
        <w:rPr>
          <w:rFonts w:ascii="Arial" w:hAnsi="Arial" w:cs="Arial"/>
          <w:bCs/>
        </w:rPr>
        <w:t xml:space="preserve">r</w:t>
      </w:r>
      <w:r>
        <w:rPr>
          <w:rFonts w:ascii="Arial" w:hAnsi="Arial" w:cs="Arial"/>
          <w:bCs/>
        </w:rPr>
        <w:t xml:space="preserve">esponsabile del </w:t>
      </w:r>
      <w:r>
        <w:rPr>
          <w:rFonts w:ascii="Arial" w:hAnsi="Arial" w:cs="Arial"/>
          <w:bCs/>
        </w:rPr>
        <w:t xml:space="preserve">servizio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non sussistono cause di incompatibilità e conflitto d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interesse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42 del d.lgs. 50/2016;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 il CIG di riferimento del presente affidamento è il ……………………………………;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regolamento di contabilità armonizzata;</w:t>
      </w:r>
      <w:r/>
    </w:p>
    <w:p>
      <w:pPr>
        <w:jc w:val="center"/>
        <w:spacing w:after="240" w:line="360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DETERMINA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>
        <w:rPr>
          <w:rFonts w:ascii="Arial" w:hAnsi="Arial" w:cs="Arial"/>
          <w:bCs/>
        </w:rPr>
        <w:t xml:space="preserve">il servizio di </w:t>
      </w:r>
      <w:r>
        <w:rPr>
          <w:rFonts w:ascii="Arial" w:hAnsi="Arial" w:cs="Arial"/>
          <w:bCs/>
        </w:rPr>
        <w:t xml:space="preserve">implementazione del Piano di migrazione al Cloud (comprensivo delle attività di assessment, pianificazione della migrazione, esecuzione e completamento della migrazione, formazione) </w:t>
      </w:r>
      <w:r>
        <w:rPr>
          <w:rFonts w:ascii="Arial" w:hAnsi="Arial" w:cs="Arial"/>
          <w:bCs/>
        </w:rPr>
        <w:t xml:space="preserve">alla società </w:t>
      </w:r>
      <w:r>
        <w:rPr>
          <w:rFonts w:ascii="Arial" w:hAnsi="Arial" w:cs="Arial"/>
          <w:bCs/>
        </w:rPr>
        <w:t xml:space="preserve">Halley SUD S.r.l</w:t>
      </w:r>
      <w:r>
        <w:rPr>
          <w:rFonts w:ascii="Arial" w:hAnsi="Arial" w:cs="Arial"/>
          <w:bCs/>
        </w:rPr>
        <w:t xml:space="preserve">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di stabilire che le attività di migrazione e attivazione dei servizi dovranno essere eseguite entro </w:t>
      </w:r>
      <w:r>
        <w:rPr>
          <w:rFonts w:ascii="Arial" w:hAnsi="Arial" w:cs="Arial"/>
          <w:bCs/>
        </w:rPr>
        <w:t xml:space="preserve">450 </w:t>
      </w:r>
      <w:r>
        <w:rPr>
          <w:rFonts w:ascii="Arial" w:hAnsi="Arial" w:cs="Arial"/>
          <w:bCs/>
        </w:rPr>
        <w:t xml:space="preserve">giorni dall’esecutività del presente atto.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di impegnare, </w:t>
      </w:r>
      <w:r>
        <w:rPr>
          <w:rFonts w:ascii="Arial" w:hAnsi="Arial" w:cs="Arial"/>
        </w:rPr>
        <w:t xml:space="preserve">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</w:t>
      </w:r>
      <w:r>
        <w:rPr>
          <w:rFonts w:ascii="Arial" w:hAnsi="Arial" w:cs="Arial"/>
        </w:rPr>
        <w:t xml:space="preserve">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di accertare, ai sensi del comma 8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183 del d.lgs. 267/2000 che il programma dei conseguenti pagamenti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impegno di spesa di cui al presente provvedimento è compatibile con i relativi stanziamenti di cassa del bilancio e con le regole di finanza pubblica.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di comunicare ai terzi interessati il presente provvedimento,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191 del d.lgs. 267/2000, specificando che le somme da corrispondere saranno liquidate su presentazione di regolare fattura entro trenta giorni dal ricevimento della stessa, previa verifica del rispetto degli </w:t>
      </w:r>
      <w:r>
        <w:rPr>
          <w:rFonts w:ascii="Arial" w:hAnsi="Arial" w:cs="Arial"/>
        </w:rPr>
        <w:t xml:space="preserve">impegni contrattualmente assunti.</w:t>
      </w:r>
      <w:r>
        <w:rPr>
          <w:rFonts w:ascii="Arial" w:hAnsi="Arial" w:cs="Arial"/>
        </w:rPr>
        <w:br/>
        <w:t xml:space="preserve">La fattura (inviata esclusivamente in modalità elettronica) dovrà: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essere intestata al Comune di 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Servizio _____________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riportare al suo interno: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estremi della presente determinazione (numero e data);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IPA del </w:t>
      </w:r>
      <w:r>
        <w:rPr>
          <w:rFonts w:ascii="Arial" w:hAnsi="Arial" w:cs="Arial"/>
        </w:rPr>
        <w:t xml:space="preserve">Servizio 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CIG (codice identificativo di gara)</w:t>
      </w:r>
      <w:r>
        <w:rPr>
          <w:rFonts w:ascii="Arial" w:hAnsi="Arial" w:cs="Arial"/>
        </w:rPr>
        <w:t xml:space="preserve"> e il codice CUP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contenere in allegato il conto corrente dedicato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3 della l. 136/2019.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 di dare atto che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esecutività del presente provvedimento è subordinata all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apposizione del visto di regolarità contabile attestante la copertura finanziaria (articolo 183, comma 7 del d.lgs. 267/2000).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7" w:right="1134" w:bottom="156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posOffset>2762885</wp:posOffset>
              </wp:positionH>
              <wp:positionV relativeFrom="paragraph">
                <wp:posOffset>-108585</wp:posOffset>
              </wp:positionV>
              <wp:extent cx="594412" cy="175275"/>
              <wp:effectExtent l="0" t="0" r="0" b="0"/>
              <wp:wrapTight wrapText="bothSides">
                <wp:wrapPolygon edited="1">
                  <wp:start x="0" y="0"/>
                  <wp:lineTo x="0" y="18783"/>
                  <wp:lineTo x="20769" y="18783"/>
                  <wp:lineTo x="20769" y="0"/>
                  <wp:lineTo x="0" y="0"/>
                </wp:wrapPolygon>
              </wp:wrapTight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412" cy="17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margin;margin-left:217.5pt;mso-position-horizontal:absolute;mso-position-vertical-relative:text;margin-top:-8.5pt;mso-position-vertical:absolute;width:46.8pt;height:13.8pt;mso-wrap-distance-left:9.0pt;mso-wrap-distance-top:0.0pt;mso-wrap-distance-right:9.0pt;mso-wrap-distance-bottom:0.0pt;" wrapcoords="0 0 0 86958 96153 86958 96153 0 0 0" stroked="false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66675</wp:posOffset>
              </wp:positionV>
              <wp:extent cx="350550" cy="320068"/>
              <wp:effectExtent l="0" t="0" r="0" b="3810"/>
              <wp:wrapTight wrapText="bothSides">
                <wp:wrapPolygon edited="1">
                  <wp:start x="0" y="0"/>
                  <wp:lineTo x="0" y="20571"/>
                  <wp:lineTo x="19957" y="20571"/>
                  <wp:lineTo x="19957" y="0"/>
                  <wp:lineTo x="0" y="0"/>
                </wp:wrapPolygon>
              </wp:wrapTight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350550" cy="320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so-position-horizontal:center;mso-position-vertical-relative:text;margin-top:5.2pt;mso-position-vertical:absolute;width:27.6pt;height:25.2pt;mso-wrap-distance-left:9.0pt;mso-wrap-distance-top:0.0pt;mso-wrap-distance-right:9.0pt;mso-wrap-distance-bottom:0.0pt;" wrapcoords="0 0 0 95236 92394 95236 92394 0 0 0" stroked="false">
              <v:path textboxrect="0,0,0,0"/>
              <w10:wrap type="tight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5"/>
  </w:num>
  <w:num w:numId="13">
    <w:abstractNumId w:val="12"/>
  </w:num>
  <w:num w:numId="14">
    <w:abstractNumId w:val="17"/>
  </w:num>
  <w:num w:numId="15">
    <w:abstractNumId w:val="3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3"/>
    <w:next w:val="75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3"/>
    <w:next w:val="75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3"/>
    <w:next w:val="75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3"/>
    <w:next w:val="75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3"/>
    <w:next w:val="75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3"/>
    <w:next w:val="75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3"/>
    <w:next w:val="75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3"/>
    <w:next w:val="75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3"/>
    <w:next w:val="75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3"/>
    <w:next w:val="75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4"/>
    <w:link w:val="33"/>
    <w:uiPriority w:val="10"/>
    <w:rPr>
      <w:sz w:val="48"/>
      <w:szCs w:val="48"/>
    </w:rPr>
  </w:style>
  <w:style w:type="paragraph" w:styleId="35">
    <w:name w:val="Subtitle"/>
    <w:basedOn w:val="753"/>
    <w:next w:val="75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4"/>
    <w:link w:val="35"/>
    <w:uiPriority w:val="11"/>
    <w:rPr>
      <w:sz w:val="24"/>
      <w:szCs w:val="24"/>
    </w:rPr>
  </w:style>
  <w:style w:type="paragraph" w:styleId="37">
    <w:name w:val="Quote"/>
    <w:basedOn w:val="753"/>
    <w:next w:val="75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3"/>
    <w:next w:val="75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4"/>
    <w:link w:val="758"/>
    <w:uiPriority w:val="99"/>
  </w:style>
  <w:style w:type="character" w:styleId="44">
    <w:name w:val="Footer Char"/>
    <w:basedOn w:val="754"/>
    <w:link w:val="760"/>
    <w:uiPriority w:val="99"/>
  </w:style>
  <w:style w:type="paragraph" w:styleId="45">
    <w:name w:val="Caption"/>
    <w:basedOn w:val="753"/>
    <w:next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0"/>
    <w:uiPriority w:val="99"/>
  </w:style>
  <w:style w:type="table" w:styleId="47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4"/>
    <w:uiPriority w:val="99"/>
    <w:unhideWhenUsed/>
    <w:rPr>
      <w:vertAlign w:val="superscript"/>
    </w:rPr>
  </w:style>
  <w:style w:type="paragraph" w:styleId="177">
    <w:name w:val="endnote text"/>
    <w:basedOn w:val="75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4"/>
    <w:uiPriority w:val="99"/>
    <w:semiHidden/>
    <w:unhideWhenUsed/>
    <w:rPr>
      <w:vertAlign w:val="superscript"/>
    </w:rPr>
  </w:style>
  <w:style w:type="paragraph" w:styleId="180">
    <w:name w:val="toc 1"/>
    <w:basedOn w:val="753"/>
    <w:next w:val="75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3"/>
    <w:next w:val="75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3"/>
    <w:next w:val="75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3"/>
    <w:next w:val="75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3"/>
    <w:next w:val="75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3"/>
    <w:next w:val="75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3"/>
    <w:next w:val="75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3"/>
    <w:next w:val="75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3"/>
    <w:next w:val="75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3"/>
    <w:next w:val="753"/>
    <w:uiPriority w:val="99"/>
    <w:unhideWhenUsed/>
    <w:pPr>
      <w:spacing w:after="0" w:afterAutospacing="0"/>
    </w:pPr>
  </w:style>
  <w:style w:type="paragraph" w:styleId="753" w:default="1">
    <w:name w:val="Normal"/>
    <w:qFormat/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paragraph" w:styleId="757">
    <w:name w:val="List Paragraph"/>
    <w:basedOn w:val="753"/>
    <w:uiPriority w:val="34"/>
    <w:qFormat/>
    <w:pPr>
      <w:contextualSpacing/>
      <w:ind w:left="720"/>
    </w:pPr>
  </w:style>
  <w:style w:type="paragraph" w:styleId="758">
    <w:name w:val="Header"/>
    <w:basedOn w:val="753"/>
    <w:link w:val="759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59" w:customStyle="1">
    <w:name w:val="Intestazione Carattere"/>
    <w:basedOn w:val="754"/>
    <w:link w:val="758"/>
    <w:uiPriority w:val="99"/>
  </w:style>
  <w:style w:type="paragraph" w:styleId="760">
    <w:name w:val="Footer"/>
    <w:basedOn w:val="753"/>
    <w:link w:val="761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761" w:customStyle="1">
    <w:name w:val="Piè di pagina Carattere"/>
    <w:basedOn w:val="754"/>
    <w:link w:val="7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revision>15</cp:revision>
  <dcterms:created xsi:type="dcterms:W3CDTF">2022-11-09T12:55:00Z</dcterms:created>
  <dcterms:modified xsi:type="dcterms:W3CDTF">2023-02-15T09:44:36Z</dcterms:modified>
</cp:coreProperties>
</file>