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t>Servizio di attivazione del sistema “Entra con CIE”</w:t>
      </w:r>
    </w:p>
    <w:p>
      <w:pPr>
        <w:pStyle w:val="Normal"/>
        <w:spacing w:lineRule="auto" w:line="276"/>
        <w:rPr>
          <w:rFonts w:ascii="Calibri Light" w:hAnsi="Calibri Light" w:cs="Calibri Light" w:asciiTheme="majorHAnsi" w:cstheme="majorHAnsi" w:hAnsiTheme="majorHAnsi"/>
          <w:sz w:val="36"/>
          <w:szCs w:val="36"/>
        </w:rPr>
      </w:pPr>
      <w:r>
        <w:rPr>
          <w:rFonts w:cs="Calibri Light" w:ascii="Calibri Light" w:hAnsi="Calibri Light" w:asciiTheme="majorHAnsi" w:cstheme="majorHAnsi" w:hAnsiTheme="majorHAnsi"/>
          <w:sz w:val="36"/>
          <w:szCs w:val="36"/>
        </w:rPr>
        <w:t>OFFERTA ECONOMICA</w:t>
      </w:r>
    </w:p>
    <w:p>
      <w:pPr>
        <w:pStyle w:val="Normal"/>
        <w:spacing w:lineRule="auto" w:line="276"/>
        <w:rPr>
          <w:rFonts w:ascii="Calibri Light" w:hAnsi="Calibri Light" w:cs="Calibri Light" w:asciiTheme="majorHAnsi" w:cstheme="majorHAnsi" w:hAnsiTheme="majorHAnsi"/>
          <w:sz w:val="36"/>
          <w:szCs w:val="36"/>
        </w:rPr>
      </w:pPr>
      <w:r>
        <w:rPr>
          <w:rFonts w:cs="Calibri Light" w:ascii="Calibri Light" w:hAnsi="Calibri Light" w:asciiTheme="majorHAnsi" w:cstheme="majorHAnsi" w:hAnsiTheme="majorHAnsi"/>
          <w:sz w:val="36"/>
          <w:szCs w:val="36"/>
        </w:rPr>
        <w:t xml:space="preserve">Comune di </w:t>
      </w:r>
      <w:r>
        <w:rPr>
          <w:rFonts w:cs="Calibri Light" w:ascii="Calibri Light" w:hAnsi="Calibri Light" w:asciiTheme="majorHAnsi" w:cstheme="majorHAnsi" w:hAnsiTheme="majorHAnsi"/>
          <w:sz w:val="36"/>
          <w:szCs w:val="36"/>
        </w:rPr>
        <w:fldChar w:fldCharType="begin"/>
      </w:r>
      <w:r>
        <w:rPr>
          <w:sz w:val="36"/>
          <w:szCs w:val="36"/>
          <w:rFonts w:cs="Calibri Light" w:ascii="Calibri Light" w:hAnsi="Calibri Light"/>
        </w:rPr>
        <w:instrText> MERGEFIELD nome_comune </w:instrText>
      </w:r>
      <w:r>
        <w:rPr>
          <w:sz w:val="36"/>
          <w:szCs w:val="36"/>
          <w:rFonts w:cs="Calibri Light" w:ascii="Calibri Light" w:hAnsi="Calibri Light"/>
        </w:rPr>
        <w:fldChar w:fldCharType="separate"/>
      </w:r>
      <w:r>
        <w:rPr>
          <w:sz w:val="36"/>
          <w:szCs w:val="36"/>
          <w:rFonts w:cs="Calibri Light" w:ascii="Calibri Light" w:hAnsi="Calibri Light"/>
        </w:rPr>
        <w:t>«nome_comune»</w:t>
      </w:r>
      <w:r>
        <w:rPr>
          <w:sz w:val="36"/>
          <w:szCs w:val="36"/>
          <w:rFonts w:cs="Calibri Light" w:ascii="Calibri Light" w:hAnsi="Calibri Light"/>
        </w:rPr>
        <w:fldChar w:fldCharType="end"/>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jc w:val="right"/>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jc w:val="right"/>
        <w:rPr>
          <w:rFonts w:ascii="Arial" w:hAnsi="Arial" w:eastAsia="Arial Unicode MS" w:cs="Arial Unicode MS"/>
          <w:color w:val="000000"/>
          <w:sz w:val="36"/>
          <w:szCs w:val="38"/>
          <w:lang w:eastAsia="it-IT"/>
        </w:rPr>
      </w:pPr>
      <w:r>
        <w:rPr>
          <w:rFonts w:eastAsia="Arial Unicode MS" w:cs="Arial Unicode MS" w:ascii="Arial" w:hAnsi="Arial"/>
          <w:color w:val="000000"/>
          <w:sz w:val="36"/>
          <w:szCs w:val="38"/>
          <w:lang w:eastAsia="it-IT"/>
        </w:rPr>
        <w:t xml:space="preserve">Offerta n. MV00 del </w:t>
      </w:r>
      <w:r>
        <w:rPr>
          <w:rFonts w:eastAsia="Arial Unicode MS" w:cs="Arial Unicode MS" w:ascii="Arial" w:hAnsi="Arial"/>
          <w:color w:val="000000"/>
          <w:sz w:val="36"/>
          <w:szCs w:val="38"/>
          <w:lang w:eastAsia="it-IT"/>
        </w:rPr>
        <w:fldChar w:fldCharType="begin"/>
      </w:r>
      <w:r>
        <w:rPr>
          <w:sz w:val="36"/>
          <w:szCs w:val="38"/>
          <w:rFonts w:eastAsia="Arial Unicode MS" w:cs="Arial Unicode MS" w:ascii="Arial" w:hAnsi="Arial"/>
          <w:color w:val="000000"/>
          <w:lang w:eastAsia="it-IT"/>
        </w:rPr>
        <w:instrText> MERGEFIELD data_proposta </w:instrText>
      </w:r>
      <w:r>
        <w:rPr>
          <w:sz w:val="36"/>
          <w:szCs w:val="38"/>
          <w:rFonts w:eastAsia="Arial Unicode MS" w:cs="Arial Unicode MS" w:ascii="Arial" w:hAnsi="Arial"/>
          <w:color w:val="000000"/>
          <w:lang w:eastAsia="it-IT"/>
        </w:rPr>
        <w:fldChar w:fldCharType="separate"/>
      </w:r>
      <w:r>
        <w:rPr>
          <w:sz w:val="36"/>
          <w:szCs w:val="38"/>
          <w:rFonts w:eastAsia="Arial Unicode MS" w:cs="Arial Unicode MS" w:ascii="Arial" w:hAnsi="Arial"/>
          <w:color w:val="000000"/>
          <w:lang w:eastAsia="it-IT"/>
        </w:rPr>
        <w:t>«data_proposta»</w:t>
      </w:r>
      <w:r>
        <w:rPr>
          <w:sz w:val="36"/>
          <w:szCs w:val="38"/>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sz w:val="36"/>
          <w:szCs w:val="38"/>
          <w:lang w:eastAsia="it-IT"/>
        </w:rPr>
      </w:pPr>
      <w:r>
        <w:rPr>
          <w:rFonts w:eastAsia="Arial Unicode MS" w:cs="Arial Unicode MS" w:ascii="Arial" w:hAnsi="Arial"/>
          <w:color w:val="000000"/>
          <w:sz w:val="36"/>
          <w:szCs w:val="38"/>
          <w:lang w:eastAsia="it-IT"/>
        </w:rPr>
      </w:r>
      <w:r>
        <w:br w:type="page"/>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t>Spett.le</w:t>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t xml:space="preserve">Comune di </w:t>
      </w: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nome_comune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«nome_comune»</w:t>
      </w:r>
      <w:r>
        <w:rPr>
          <w:sz w:val="24"/>
          <w:szCs w:val="24"/>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t xml:space="preserve">Alla c.a. del Responsabile dell’Ufficio </w:t>
      </w: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ufficio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«ufficio»</w:t>
      </w:r>
      <w:r>
        <w:rPr>
          <w:sz w:val="24"/>
          <w:szCs w:val="24"/>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titolo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«titolo»</w:t>
      </w:r>
      <w:r>
        <w:rPr>
          <w:sz w:val="24"/>
          <w:szCs w:val="24"/>
          <w:rFonts w:eastAsia="Arial Unicode MS" w:cs="Arial Unicode MS" w:ascii="Arial" w:hAnsi="Arial"/>
          <w:color w:val="000000"/>
          <w:lang w:eastAsia="it-IT"/>
        </w:rPr>
        <w:fldChar w:fldCharType="end"/>
      </w:r>
      <w:r>
        <w:rPr>
          <w:rFonts w:eastAsia="Arial Unicode MS" w:cs="Arial Unicode MS" w:ascii="Arial" w:hAnsi="Arial"/>
          <w:color w:val="000000"/>
          <w:sz w:val="24"/>
          <w:szCs w:val="24"/>
          <w:lang w:eastAsia="it-IT"/>
        </w:rPr>
        <w:t xml:space="preserve"> </w:t>
      </w: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referente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«referente»</w:t>
      </w:r>
      <w:r>
        <w:rPr>
          <w:sz w:val="24"/>
          <w:szCs w:val="24"/>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both"/>
        <w:rPr>
          <w:rFonts w:ascii="Arial" w:hAnsi="Arial" w:eastAsia="Arial Unicode MS" w:cs="Arial Unicode MS"/>
          <w:b/>
          <w:b/>
          <w:bCs/>
          <w:color w:val="000000"/>
          <w:sz w:val="24"/>
          <w:szCs w:val="24"/>
          <w:lang w:eastAsia="it-IT"/>
        </w:rPr>
      </w:pPr>
      <w:r>
        <w:rPr>
          <w:rFonts w:eastAsia="Arial Unicode MS" w:cs="Arial Unicode MS" w:ascii="Arial" w:hAnsi="Arial"/>
          <w:b/>
          <w:bCs/>
          <w:color w:val="000000"/>
          <w:sz w:val="24"/>
          <w:szCs w:val="24"/>
          <w:lang w:eastAsia="it-IT"/>
        </w:rPr>
        <w:t>OGGETTO:</w:t>
      </w:r>
    </w:p>
    <w:p>
      <w:pPr>
        <w:pStyle w:val="Normal"/>
        <w:pBdr>
          <w:bottom w:val="single" w:sz="12" w:space="1" w:color="000000"/>
        </w:pBdr>
        <w:spacing w:lineRule="auto" w:line="276" w:before="0" w:after="0"/>
        <w:jc w:val="both"/>
        <w:rPr>
          <w:rFonts w:ascii="Arial" w:hAnsi="Arial" w:eastAsia="Arial Unicode MS" w:cs="Arial Unicode MS"/>
          <w:b/>
          <w:b/>
          <w:bCs/>
          <w:color w:val="000000"/>
          <w:sz w:val="24"/>
          <w:szCs w:val="24"/>
          <w:lang w:eastAsia="it-IT"/>
        </w:rPr>
      </w:pPr>
      <w:r>
        <w:rPr>
          <w:rFonts w:eastAsia="Arial Unicode MS" w:cs="Arial Unicode MS" w:ascii="Arial" w:hAnsi="Arial"/>
          <w:b/>
          <w:bCs/>
          <w:color w:val="000000"/>
          <w:sz w:val="24"/>
          <w:szCs w:val="24"/>
          <w:lang w:eastAsia="it-IT"/>
        </w:rPr>
        <w:t>Servizio di attivazione del sistema “Entra con CIE”</w:t>
      </w:r>
    </w:p>
    <w:p>
      <w:pPr>
        <w:pStyle w:val="Normal"/>
        <w:spacing w:lineRule="auto" w:line="276" w:before="0" w:after="0"/>
        <w:jc w:val="both"/>
        <w:rPr>
          <w:rFonts w:ascii="Arial" w:hAnsi="Arial" w:eastAsia="Arial Unicode MS" w:cs="Arial Unicode MS"/>
          <w:color w:val="000000"/>
          <w:sz w:val="32"/>
          <w:szCs w:val="28"/>
          <w:lang w:eastAsia="it-IT"/>
        </w:rPr>
      </w:pPr>
      <w:r>
        <w:rPr>
          <w:rFonts w:eastAsia="Arial Unicode MS" w:cs="Arial Unicode MS" w:ascii="Arial" w:hAnsi="Arial"/>
          <w:color w:val="000000"/>
          <w:sz w:val="32"/>
          <w:szCs w:val="28"/>
          <w:lang w:eastAsia="it-IT"/>
        </w:rPr>
      </w:r>
    </w:p>
    <w:p>
      <w:pPr>
        <w:pStyle w:val="Normal"/>
        <w:spacing w:lineRule="auto" w:line="276" w:before="0" w:after="0"/>
        <w:jc w:val="both"/>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t xml:space="preserve">Offerta n. MV00 del </w:t>
      </w: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data_proposta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«data_proposta»</w:t>
      </w:r>
      <w:r>
        <w:rPr>
          <w:sz w:val="24"/>
          <w:szCs w:val="24"/>
          <w:rFonts w:eastAsia="Arial Unicode MS" w:cs="Arial Unicode MS" w:ascii="Arial" w:hAnsi="Arial"/>
          <w:color w:val="000000"/>
          <w:lang w:eastAsia="it-IT"/>
        </w:rPr>
        <w:fldChar w:fldCharType="end"/>
      </w:r>
    </w:p>
    <w:p>
      <w:pPr>
        <w:pStyle w:val="Normal"/>
        <w:spacing w:lineRule="auto" w:line="276" w:before="0" w:after="0"/>
        <w:jc w:val="both"/>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t>Gentile Cliente,</w:t>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t>a seguito dei colloqui intercorsi, abbiamo il piacere di sottoporre alla Vostra cortese attenzione la nostra migliore offerta relativa al servizio in oggetto.</w:t>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t xml:space="preserve">Ricordiamo che la presente offerta ha validità fino al </w:t>
      </w:r>
      <w:r>
        <w:rPr>
          <w:rFonts w:eastAsia="Arial Unicode MS" w:cs="Arial Unicode MS" w:ascii="Arial" w:hAnsi="Arial"/>
          <w:color w:val="000000"/>
          <w:lang w:eastAsia="it-IT"/>
        </w:rPr>
        <w:fldChar w:fldCharType="begin"/>
      </w:r>
      <w:r>
        <w:rPr>
          <w:rFonts w:eastAsia="Arial Unicode MS" w:cs="Arial Unicode MS" w:ascii="Arial" w:hAnsi="Arial"/>
          <w:color w:val="000000"/>
          <w:lang w:eastAsia="it-IT"/>
        </w:rPr>
        <w:instrText> MERGEFIELD valid </w:instrText>
      </w:r>
      <w:r>
        <w:rPr>
          <w:rFonts w:eastAsia="Arial Unicode MS" w:cs="Arial Unicode MS" w:ascii="Arial" w:hAnsi="Arial"/>
          <w:color w:val="000000"/>
          <w:lang w:eastAsia="it-IT"/>
        </w:rPr>
        <w:fldChar w:fldCharType="separate"/>
      </w:r>
      <w:r>
        <w:rPr>
          <w:rFonts w:eastAsia="Arial Unicode MS" w:cs="Arial Unicode MS" w:ascii="Arial" w:hAnsi="Arial"/>
          <w:color w:val="000000"/>
          <w:lang w:eastAsia="it-IT"/>
        </w:rPr>
        <w:t>«valid»</w:t>
      </w:r>
      <w:r>
        <w:rPr>
          <w:rFonts w:eastAsia="Arial Unicode MS" w:cs="Arial Unicode MS" w:ascii="Arial" w:hAnsi="Arial"/>
          <w:color w:val="000000"/>
          <w:lang w:eastAsia="it-IT"/>
        </w:rPr>
        <w:fldChar w:fldCharType="end"/>
      </w:r>
      <w:r>
        <w:rPr>
          <w:rFonts w:eastAsia="Arial Unicode MS" w:cs="Arial Unicode MS" w:ascii="Arial" w:hAnsi="Arial"/>
          <w:color w:val="000000"/>
          <w:lang w:eastAsia="it-IT"/>
        </w:rPr>
        <w:t>, termine entro il quale si garantisce la presa in carico dell’affidamento alle condizioni descritte.</w:t>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t>A disposizione per ulteriori spiegazioni in merito al servizio, cogliamo l’occasione per porgere cordiali saluti.</w:t>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right"/>
        <w:rPr>
          <w:rFonts w:ascii="Arial" w:hAnsi="Arial" w:eastAsia="Arial Unicode MS" w:cs="Arial Unicode MS"/>
          <w:color w:val="000000"/>
          <w:lang w:val="en-US" w:eastAsia="it-IT"/>
        </w:rPr>
      </w:pPr>
      <w:r>
        <w:rPr>
          <w:rFonts w:eastAsia="Arial Unicode MS" w:cs="Arial Unicode MS" w:ascii="Arial" w:hAnsi="Arial"/>
          <w:color w:val="000000"/>
          <w:lang w:val="en-US" w:eastAsia="it-IT"/>
        </w:rPr>
        <w:t>HALLEY SUD S.r.l.</w:t>
      </w:r>
    </w:p>
    <w:p>
      <w:pPr>
        <w:pStyle w:val="Normal"/>
        <w:spacing w:lineRule="auto" w:line="276" w:before="0" w:after="0"/>
        <w:jc w:val="right"/>
        <w:rPr>
          <w:rFonts w:ascii="Arial" w:hAnsi="Arial" w:eastAsia="Arial Unicode MS" w:cs="Arial Unicode MS"/>
          <w:color w:val="000000"/>
          <w:lang w:eastAsia="it-IT"/>
        </w:rPr>
      </w:pPr>
      <w:r>
        <w:rPr>
          <w:rFonts w:eastAsia="Arial Unicode MS" w:cs="Arial Unicode MS" w:ascii="Arial" w:hAnsi="Arial"/>
          <w:color w:val="000000"/>
          <w:lang w:eastAsia="it-IT"/>
        </w:rPr>
        <w:fldChar w:fldCharType="begin"/>
      </w:r>
      <w:r>
        <w:rPr>
          <w:rFonts w:eastAsia="Arial Unicode MS" w:cs="Arial Unicode MS" w:ascii="Arial" w:hAnsi="Arial"/>
          <w:color w:val="000000"/>
          <w:lang w:eastAsia="it-IT"/>
        </w:rPr>
        <w:instrText> MERGEFIELD commerciale </w:instrText>
      </w:r>
      <w:r>
        <w:rPr>
          <w:rFonts w:eastAsia="Arial Unicode MS" w:cs="Arial Unicode MS" w:ascii="Arial" w:hAnsi="Arial"/>
          <w:color w:val="000000"/>
          <w:lang w:eastAsia="it-IT"/>
        </w:rPr>
        <w:fldChar w:fldCharType="separate"/>
      </w:r>
      <w:r>
        <w:rPr>
          <w:rFonts w:eastAsia="Arial Unicode MS" w:cs="Arial Unicode MS" w:ascii="Arial" w:hAnsi="Arial"/>
          <w:color w:val="000000"/>
          <w:lang w:eastAsia="it-IT"/>
        </w:rPr>
        <w:t>«commerciale»</w:t>
      </w:r>
      <w:r>
        <w:rPr>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lang w:eastAsia="it-IT"/>
        </w:rPr>
      </w:pPr>
      <w:r>
        <w:rPr>
          <w:rFonts w:eastAsia="Arial Unicode MS" w:cs="Arial Unicode MS" w:ascii="Arial" w:hAnsi="Arial"/>
          <w:color w:val="000000"/>
          <w:lang w:eastAsia="it-IT"/>
        </w:rPr>
        <w:t>Consulente commerciale</w:t>
      </w:r>
    </w:p>
    <w:p>
      <w:pPr>
        <w:pStyle w:val="Normal"/>
        <w:spacing w:lineRule="auto" w:line="276" w:before="0" w:after="0"/>
        <w:jc w:val="right"/>
        <w:rPr>
          <w:rFonts w:ascii="Arial" w:hAnsi="Arial" w:eastAsia="Arial Unicode MS" w:cs="Arial Unicode MS"/>
          <w:color w:val="000000"/>
          <w:lang w:eastAsia="it-IT"/>
        </w:rPr>
      </w:pPr>
      <w:r>
        <w:rPr>
          <w:rFonts w:eastAsia="Arial Unicode MS" w:cs="Arial Unicode MS" w:ascii="Arial" w:hAnsi="Arial"/>
          <w:color w:val="000000"/>
          <w:lang w:eastAsia="it-IT"/>
        </w:rPr>
        <w:t xml:space="preserve">Tel. </w:t>
      </w:r>
      <w:r>
        <w:rPr>
          <w:rFonts w:eastAsia="Arial Unicode MS" w:cs="Arial Unicode MS" w:ascii="Arial" w:hAnsi="Arial"/>
          <w:color w:val="000000"/>
          <w:lang w:eastAsia="it-IT"/>
        </w:rPr>
        <w:fldChar w:fldCharType="begin"/>
      </w:r>
      <w:r>
        <w:rPr>
          <w:rFonts w:eastAsia="Arial Unicode MS" w:cs="Arial Unicode MS" w:ascii="Arial" w:hAnsi="Arial"/>
          <w:color w:val="000000"/>
          <w:lang w:eastAsia="it-IT"/>
        </w:rPr>
        <w:instrText> MERGEFIELD numero_commerciale </w:instrText>
      </w:r>
      <w:r>
        <w:rPr>
          <w:rFonts w:eastAsia="Arial Unicode MS" w:cs="Arial Unicode MS" w:ascii="Arial" w:hAnsi="Arial"/>
          <w:color w:val="000000"/>
          <w:lang w:eastAsia="it-IT"/>
        </w:rPr>
        <w:fldChar w:fldCharType="separate"/>
      </w:r>
      <w:r>
        <w:rPr>
          <w:rFonts w:eastAsia="Arial Unicode MS" w:cs="Arial Unicode MS" w:ascii="Arial" w:hAnsi="Arial"/>
          <w:color w:val="000000"/>
          <w:lang w:eastAsia="it-IT"/>
        </w:rPr>
        <w:t>«numero_commerciale»</w:t>
      </w:r>
      <w:r>
        <w:rPr>
          <w:rFonts w:eastAsia="Arial Unicode MS" w:cs="Arial Unicode MS" w:ascii="Arial" w:hAnsi="Arial"/>
          <w:color w:val="000000"/>
          <w:lang w:eastAsia="it-IT"/>
        </w:rPr>
        <w:fldChar w:fldCharType="end"/>
      </w:r>
      <w:r>
        <w:br w:type="page"/>
      </w:r>
    </w:p>
    <w:p>
      <w:pPr>
        <w:pStyle w:val="Normal"/>
        <w:rPr>
          <w:color w:val="F98F37"/>
          <w:sz w:val="32"/>
          <w:szCs w:val="32"/>
          <w:lang w:eastAsia="it-IT"/>
        </w:rPr>
      </w:pPr>
      <w:r>
        <w:rPr>
          <w:color w:val="F98F37"/>
          <w:sz w:val="32"/>
          <w:szCs w:val="32"/>
          <w:lang w:eastAsia="it-IT"/>
        </w:rPr>
        <w:t>SOMMARIO</w:t>
      </w:r>
    </w:p>
    <w:p>
      <w:pPr>
        <w:pStyle w:val="Titolo1"/>
        <w:rPr>
          <w:rFonts w:ascii="Calibri" w:hAnsi="Calibri" w:eastAsia="Arial Unicode MS" w:cs="Calibri" w:asciiTheme="minorHAnsi" w:cstheme="minorHAnsi" w:hAnsiTheme="minorHAnsi"/>
          <w:color w:val="C4000A"/>
          <w:sz w:val="22"/>
          <w:szCs w:val="22"/>
          <w:lang w:eastAsia="it-IT"/>
        </w:rPr>
      </w:pPr>
      <w:r>
        <w:rPr>
          <w:rFonts w:eastAsia="Arial Unicode MS" w:cs="Calibri" w:cstheme="minorHAnsi" w:ascii="Calibri" w:hAnsi="Calibri"/>
          <w:color w:val="C4000A"/>
          <w:sz w:val="22"/>
          <w:szCs w:val="22"/>
          <w:lang w:eastAsia="it-IT"/>
        </w:rPr>
      </w:r>
    </w:p>
    <w:sdt>
      <w:sdtPr>
        <w:docPartObj>
          <w:docPartGallery w:val="Table of Contents"/>
          <w:docPartUnique w:val="true"/>
        </w:docPartObj>
      </w:sdtPr>
      <w:sdtContent>
        <w:p>
          <w:pPr>
            <w:pStyle w:val="Indice1"/>
            <w:tabs>
              <w:tab w:val="clear" w:pos="708"/>
              <w:tab w:val="right" w:pos="10194" w:leader="dot"/>
            </w:tabs>
            <w:rPr>
              <w:rFonts w:eastAsia="Arial" w:eastAsiaTheme="minorEastAsia"/>
              <w:lang w:eastAsia="it-IT"/>
            </w:rPr>
          </w:pPr>
          <w:r>
            <w:fldChar w:fldCharType="begin"/>
          </w:r>
          <w:r>
            <w:rPr>
              <w:webHidden/>
              <w:rStyle w:val="Saltoaindice"/>
              <w:rFonts w:eastAsia="Arial Unicode MS" w:cs="Calibri"/>
              <w:lang w:eastAsia="it-IT"/>
            </w:rPr>
            <w:instrText> TOC \z \o "1-3" \u \h</w:instrText>
          </w:r>
          <w:r>
            <w:rPr>
              <w:webHidden/>
              <w:rStyle w:val="Saltoaindice"/>
              <w:rFonts w:eastAsia="Arial Unicode MS" w:cs="Calibri"/>
              <w:lang w:eastAsia="it-IT"/>
            </w:rPr>
            <w:fldChar w:fldCharType="separate"/>
          </w:r>
          <w:hyperlink w:anchor="_Toc123217341">
            <w:r>
              <w:rPr>
                <w:webHidden/>
                <w:rStyle w:val="Saltoaindice"/>
                <w:rFonts w:eastAsia="Arial Unicode MS" w:cs="Calibri" w:cstheme="minorHAnsi"/>
                <w:lang w:eastAsia="it-IT"/>
              </w:rPr>
              <w:t>ATTIVAZIONE DEL SISTEMA “ENTRA CON CIE”</w:t>
            </w:r>
            <w:r>
              <w:rPr>
                <w:webHidden/>
              </w:rPr>
              <w:fldChar w:fldCharType="begin"/>
            </w:r>
            <w:r>
              <w:rPr>
                <w:webHidden/>
              </w:rPr>
              <w:instrText>PAGEREF _Toc123217341 \h</w:instrText>
            </w:r>
            <w:r>
              <w:rPr>
                <w:webHidden/>
              </w:rPr>
              <w:fldChar w:fldCharType="separate"/>
            </w:r>
            <w:r>
              <w:rPr>
                <w:rStyle w:val="Saltoaindice"/>
                <w:vanish w:val="false"/>
              </w:rPr>
              <w:tab/>
              <w:t>3</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342">
            <w:r>
              <w:rPr>
                <w:webHidden/>
                <w:rStyle w:val="Saltoaindice"/>
                <w:rFonts w:cs="Calibri" w:cstheme="minorHAnsi"/>
                <w:lang w:eastAsia="it-IT"/>
              </w:rPr>
              <w:t>Cosa prevede il servizio</w:t>
            </w:r>
            <w:r>
              <w:rPr>
                <w:webHidden/>
              </w:rPr>
              <w:fldChar w:fldCharType="begin"/>
            </w:r>
            <w:r>
              <w:rPr>
                <w:webHidden/>
              </w:rPr>
              <w:instrText>PAGEREF _Toc123217342 \h</w:instrText>
            </w:r>
            <w:r>
              <w:rPr>
                <w:webHidden/>
              </w:rPr>
              <w:fldChar w:fldCharType="separate"/>
            </w:r>
            <w:r>
              <w:rPr>
                <w:rStyle w:val="Saltoaindice"/>
                <w:vanish w:val="false"/>
              </w:rPr>
              <w:tab/>
              <w:t>3</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343">
            <w:r>
              <w:rPr>
                <w:webHidden/>
                <w:rStyle w:val="Saltoaindice"/>
                <w:rFonts w:cs="Calibri" w:cstheme="minorHAnsi"/>
                <w:lang w:eastAsia="it-IT"/>
              </w:rPr>
              <w:t>Vantaggi</w:t>
            </w:r>
            <w:r>
              <w:rPr>
                <w:webHidden/>
              </w:rPr>
              <w:fldChar w:fldCharType="begin"/>
            </w:r>
            <w:r>
              <w:rPr>
                <w:webHidden/>
              </w:rPr>
              <w:instrText>PAGEREF _Toc123217343 \h</w:instrText>
            </w:r>
            <w:r>
              <w:rPr>
                <w:webHidden/>
              </w:rPr>
              <w:fldChar w:fldCharType="separate"/>
            </w:r>
            <w:r>
              <w:rPr>
                <w:rStyle w:val="Saltoaindice"/>
                <w:vanish w:val="false"/>
              </w:rPr>
              <w:tab/>
              <w:t>3</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344">
            <w:r>
              <w:rPr>
                <w:webHidden/>
                <w:rStyle w:val="Saltoaindice"/>
                <w:rFonts w:cs="Calibri" w:cstheme="minorHAnsi"/>
                <w:lang w:eastAsia="it-IT"/>
              </w:rPr>
              <w:t>Attività incluse nel servizio</w:t>
            </w:r>
            <w:r>
              <w:rPr>
                <w:webHidden/>
              </w:rPr>
              <w:fldChar w:fldCharType="begin"/>
            </w:r>
            <w:r>
              <w:rPr>
                <w:webHidden/>
              </w:rPr>
              <w:instrText>PAGEREF _Toc123217344 \h</w:instrText>
            </w:r>
            <w:r>
              <w:rPr>
                <w:webHidden/>
              </w:rPr>
              <w:fldChar w:fldCharType="separate"/>
            </w:r>
            <w:r>
              <w:rPr>
                <w:rStyle w:val="Saltoaindice"/>
                <w:vanish w:val="false"/>
              </w:rPr>
              <w:tab/>
              <w:t>4</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345">
            <w:r>
              <w:rPr>
                <w:webHidden/>
                <w:rStyle w:val="Saltoaindice"/>
                <w:rFonts w:cs="Calibri" w:cstheme="minorHAnsi"/>
                <w:lang w:eastAsia="it-IT"/>
              </w:rPr>
              <w:t>Attività escluse</w:t>
            </w:r>
            <w:r>
              <w:rPr>
                <w:webHidden/>
              </w:rPr>
              <w:fldChar w:fldCharType="begin"/>
            </w:r>
            <w:r>
              <w:rPr>
                <w:webHidden/>
              </w:rPr>
              <w:instrText>PAGEREF _Toc123217345 \h</w:instrText>
            </w:r>
            <w:r>
              <w:rPr>
                <w:webHidden/>
              </w:rPr>
              <w:fldChar w:fldCharType="separate"/>
            </w:r>
            <w:r>
              <w:rPr>
                <w:rStyle w:val="Saltoaindice"/>
                <w:vanish w:val="false"/>
              </w:rPr>
              <w:tab/>
              <w:t>4</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346">
            <w:r>
              <w:rPr>
                <w:webHidden/>
                <w:rStyle w:val="Saltoaindice"/>
                <w:rFonts w:cs="Calibri" w:cstheme="minorHAnsi"/>
                <w:lang w:eastAsia="it-IT"/>
              </w:rPr>
              <w:t>MODALITÀ DI EROGAZIONE DEL SERVIZIO</w:t>
            </w:r>
            <w:r>
              <w:rPr>
                <w:webHidden/>
              </w:rPr>
              <w:fldChar w:fldCharType="begin"/>
            </w:r>
            <w:r>
              <w:rPr>
                <w:webHidden/>
              </w:rPr>
              <w:instrText>PAGEREF _Toc123217346 \h</w:instrText>
            </w:r>
            <w:r>
              <w:rPr>
                <w:webHidden/>
              </w:rPr>
              <w:fldChar w:fldCharType="separate"/>
            </w:r>
            <w:r>
              <w:rPr>
                <w:rStyle w:val="Saltoaindice"/>
                <w:vanish w:val="false"/>
              </w:rPr>
              <w:tab/>
              <w:t>5</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347">
            <w:r>
              <w:rPr>
                <w:webHidden/>
                <w:rStyle w:val="Saltoaindice"/>
                <w:rFonts w:cs="Calibri" w:cstheme="minorHAnsi"/>
                <w:lang w:eastAsia="it-IT"/>
              </w:rPr>
              <w:t>Cosa deve fare il Cliente</w:t>
            </w:r>
            <w:r>
              <w:rPr>
                <w:webHidden/>
              </w:rPr>
              <w:fldChar w:fldCharType="begin"/>
            </w:r>
            <w:r>
              <w:rPr>
                <w:webHidden/>
              </w:rPr>
              <w:instrText>PAGEREF _Toc123217347 \h</w:instrText>
            </w:r>
            <w:r>
              <w:rPr>
                <w:webHidden/>
              </w:rPr>
              <w:fldChar w:fldCharType="separate"/>
            </w:r>
            <w:r>
              <w:rPr>
                <w:rStyle w:val="Saltoaindice"/>
                <w:vanish w:val="false"/>
              </w:rPr>
              <w:tab/>
              <w:t>5</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348">
            <w:r>
              <w:rPr>
                <w:webHidden/>
                <w:rStyle w:val="Saltoaindice"/>
                <w:rFonts w:cs="Calibri" w:cstheme="minorHAnsi"/>
                <w:lang w:eastAsia="it-IT"/>
              </w:rPr>
              <w:t>OFFERTA ECONOMICA</w:t>
            </w:r>
            <w:r>
              <w:rPr>
                <w:webHidden/>
              </w:rPr>
              <w:fldChar w:fldCharType="begin"/>
            </w:r>
            <w:r>
              <w:rPr>
                <w:webHidden/>
              </w:rPr>
              <w:instrText>PAGEREF _Toc123217348 \h</w:instrText>
            </w:r>
            <w:r>
              <w:rPr>
                <w:webHidden/>
              </w:rPr>
              <w:fldChar w:fldCharType="separate"/>
            </w:r>
            <w:r>
              <w:rPr>
                <w:rStyle w:val="Saltoaindice"/>
                <w:vanish w:val="false"/>
              </w:rPr>
              <w:tab/>
              <w:t>6</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349">
            <w:r>
              <w:rPr>
                <w:webHidden/>
                <w:rStyle w:val="Saltoaindice"/>
                <w:rFonts w:cs="Calibri" w:cstheme="minorHAnsi"/>
                <w:lang w:eastAsia="it-IT"/>
              </w:rPr>
              <w:t>Durata del servizio</w:t>
            </w:r>
            <w:r>
              <w:rPr>
                <w:webHidden/>
              </w:rPr>
              <w:fldChar w:fldCharType="begin"/>
            </w:r>
            <w:r>
              <w:rPr>
                <w:webHidden/>
              </w:rPr>
              <w:instrText>PAGEREF _Toc123217349 \h</w:instrText>
            </w:r>
            <w:r>
              <w:rPr>
                <w:webHidden/>
              </w:rPr>
              <w:fldChar w:fldCharType="separate"/>
            </w:r>
            <w:r>
              <w:rPr>
                <w:rStyle w:val="Saltoaindice"/>
                <w:vanish w:val="false"/>
              </w:rPr>
              <w:tab/>
              <w:t>6</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350">
            <w:r>
              <w:rPr>
                <w:webHidden/>
                <w:rStyle w:val="Saltoaindice"/>
                <w:rFonts w:cs="Calibri" w:cstheme="minorHAnsi"/>
                <w:lang w:eastAsia="it-IT"/>
              </w:rPr>
              <w:t>CONDIZIONI DI FORNITURA</w:t>
            </w:r>
            <w:r>
              <w:rPr>
                <w:webHidden/>
              </w:rPr>
              <w:fldChar w:fldCharType="begin"/>
            </w:r>
            <w:r>
              <w:rPr>
                <w:webHidden/>
              </w:rPr>
              <w:instrText>PAGEREF _Toc123217350 \h</w:instrText>
            </w:r>
            <w:r>
              <w:rPr>
                <w:webHidden/>
              </w:rPr>
              <w:fldChar w:fldCharType="separate"/>
            </w:r>
            <w:r>
              <w:rPr>
                <w:rStyle w:val="Saltoaindice"/>
                <w:vanish w:val="false"/>
              </w:rPr>
              <w:tab/>
              <w:t>7</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351">
            <w:r>
              <w:rPr>
                <w:webHidden/>
                <w:rStyle w:val="Saltoaindice"/>
                <w:rFonts w:cs="Calibri" w:cstheme="minorHAnsi"/>
                <w:lang w:eastAsia="it-IT"/>
              </w:rPr>
              <w:t>ACCETTAZIONE OFFERTA</w:t>
            </w:r>
            <w:r>
              <w:rPr>
                <w:webHidden/>
              </w:rPr>
              <w:fldChar w:fldCharType="begin"/>
            </w:r>
            <w:r>
              <w:rPr>
                <w:webHidden/>
              </w:rPr>
              <w:instrText>PAGEREF _Toc123217351 \h</w:instrText>
            </w:r>
            <w:r>
              <w:rPr>
                <w:webHidden/>
              </w:rPr>
              <w:fldChar w:fldCharType="separate"/>
            </w:r>
            <w:r>
              <w:rPr>
                <w:rStyle w:val="Saltoaindice"/>
                <w:vanish w:val="false"/>
              </w:rPr>
              <w:tab/>
              <w:t>10</w:t>
            </w:r>
            <w:r>
              <w:rPr>
                <w:webHidden/>
              </w:rPr>
              <w:fldChar w:fldCharType="end"/>
            </w:r>
          </w:hyperlink>
          <w:r>
            <w:rPr>
              <w:rStyle w:val="Saltoaindice"/>
              <w:vanish w:val="false"/>
            </w:rPr>
            <w:fldChar w:fldCharType="end"/>
          </w:r>
        </w:p>
      </w:sdtContent>
    </w:sdt>
    <w:p>
      <w:pPr>
        <w:pStyle w:val="Indice1"/>
        <w:tabs>
          <w:tab w:val="clear" w:pos="708"/>
          <w:tab w:val="right" w:pos="10194" w:leader="dot"/>
        </w:tabs>
        <w:rPr>
          <w:rFonts w:eastAsia="Arial" w:eastAsiaTheme="minorEastAsia"/>
          <w:lang w:eastAsia="it-IT"/>
        </w:rPr>
      </w:pPr>
      <w:r>
        <w:rPr>
          <w:rFonts w:eastAsia="Arial" w:eastAsiaTheme="minorEastAsia"/>
          <w:lang w:eastAsia="it-IT"/>
        </w:rPr>
      </w:r>
    </w:p>
    <w:p>
      <w:pPr>
        <w:pStyle w:val="Titolo1"/>
        <w:rPr>
          <w:rFonts w:ascii="Calibri" w:hAnsi="Calibri" w:eastAsia="Arial Unicode MS" w:cs="Calibri" w:asciiTheme="minorHAnsi" w:cstheme="minorHAnsi" w:hAnsiTheme="minorHAnsi"/>
          <w:color w:val="C4000A"/>
          <w:lang w:eastAsia="it-IT"/>
        </w:rPr>
      </w:pPr>
      <w:r>
        <w:rPr>
          <w:rFonts w:eastAsia="Arial Unicode MS" w:cs="Calibri" w:cstheme="minorHAnsi" w:ascii="Calibri" w:hAnsi="Calibri"/>
          <w:color w:val="C4000A"/>
          <w:lang w:eastAsia="it-IT"/>
        </w:rPr>
      </w:r>
      <w:r>
        <w:br w:type="page"/>
      </w:r>
    </w:p>
    <w:p>
      <w:pPr>
        <w:pStyle w:val="Titolo1"/>
        <w:jc w:val="center"/>
        <w:rPr>
          <w:color w:val="F98F37"/>
        </w:rPr>
      </w:pPr>
      <w:bookmarkStart w:id="0" w:name="_Toc123217341"/>
      <w:r>
        <w:rPr>
          <w:rFonts w:eastAsia="Arial Unicode MS" w:cs="Calibri" w:ascii="Calibri" w:hAnsi="Calibri" w:asciiTheme="minorHAnsi" w:cstheme="minorHAnsi" w:hAnsiTheme="minorHAnsi"/>
          <w:color w:val="F98F37"/>
          <w:lang w:eastAsia="it-IT"/>
        </w:rPr>
        <w:t>ATTIVAZIONE DEL SISTEMA “ENTRA CON CIE”</w:t>
      </w:r>
      <w:bookmarkEnd w:id="0"/>
    </w:p>
    <w:p>
      <w:pPr>
        <w:pStyle w:val="Normal"/>
        <w:rPr/>
      </w:pPr>
      <w:r>
        <w:rPr/>
      </w:r>
    </w:p>
    <w:p>
      <w:pPr>
        <w:pStyle w:val="Normal"/>
        <w:jc w:val="both"/>
        <w:rPr>
          <w:rFonts w:ascii="Arial" w:hAnsi="Arial" w:cs="Arial"/>
          <w:lang w:eastAsia="it-IT"/>
        </w:rPr>
      </w:pPr>
      <w:r>
        <w:rPr>
          <w:rFonts w:cs="Arial" w:ascii="Arial" w:hAnsi="Arial"/>
          <w:lang w:eastAsia="it-IT"/>
        </w:rPr>
        <w:t>“</w:t>
      </w:r>
      <w:r>
        <w:rPr>
          <w:rFonts w:cs="Arial" w:ascii="Arial" w:hAnsi="Arial"/>
          <w:lang w:eastAsia="it-IT"/>
        </w:rPr>
        <w:t>Entra con CIE” è lo schema di identificazione che consente l’accesso ai servizi digitali erogati in rete dalle pubbliche amministrazioni e dai privati, mediante l’impiego della CIE, come previsto dall’art. 64 del Codice dell’Amministrazione Digitale.</w:t>
      </w:r>
    </w:p>
    <w:p>
      <w:pPr>
        <w:pStyle w:val="Normal"/>
        <w:jc w:val="both"/>
        <w:rPr>
          <w:rFonts w:ascii="Arial" w:hAnsi="Arial" w:cs="Arial"/>
          <w:lang w:eastAsia="it-IT"/>
        </w:rPr>
      </w:pPr>
      <w:r>
        <w:rPr>
          <w:rFonts w:cs="Arial" w:ascii="Arial" w:hAnsi="Arial"/>
          <w:lang w:eastAsia="it-IT"/>
        </w:rPr>
        <w:t>La CIE (Carta d’Identità Elettronica) è uno strumento di identità digitale riconosciuto anche in Europa. In conformità al Regolamento eIDAS - Regolamento (UE) n. 910/2014, la CIE è stata infatti notificata alla Commissione europea e agli altri stati membri ed è stata integrata con il nodo eIDAS.</w:t>
      </w:r>
    </w:p>
    <w:p>
      <w:pPr>
        <w:pStyle w:val="Normal"/>
        <w:jc w:val="both"/>
        <w:rPr>
          <w:rFonts w:ascii="Arial" w:hAnsi="Arial" w:cs="Arial"/>
          <w:lang w:eastAsia="it-IT"/>
        </w:rPr>
      </w:pPr>
      <w:r>
        <w:rPr>
          <w:rFonts w:cs="Arial" w:ascii="Arial" w:hAnsi="Arial"/>
          <w:lang w:eastAsia="it-IT"/>
        </w:rPr>
        <w:t>“</w:t>
      </w:r>
      <w:r>
        <w:rPr>
          <w:rFonts w:cs="Arial" w:ascii="Arial" w:hAnsi="Arial"/>
          <w:lang w:eastAsia="it-IT"/>
        </w:rPr>
        <w:t>Entra con CIE” consente ai cittadini in possesso di una CIE di autenticarsi ai servizi online abilitati con diverse modalità:</w:t>
      </w:r>
    </w:p>
    <w:p>
      <w:pPr>
        <w:pStyle w:val="ListParagraph"/>
        <w:numPr>
          <w:ilvl w:val="0"/>
          <w:numId w:val="4"/>
        </w:numPr>
        <w:jc w:val="both"/>
        <w:rPr>
          <w:rFonts w:ascii="Arial" w:hAnsi="Arial" w:cs="Arial"/>
          <w:lang w:eastAsia="it-IT"/>
        </w:rPr>
      </w:pPr>
      <w:r>
        <w:rPr>
          <w:rFonts w:cs="Arial" w:ascii="Arial" w:hAnsi="Arial"/>
          <w:lang w:eastAsia="it-IT"/>
        </w:rPr>
        <w:t>“</w:t>
      </w:r>
      <w:r>
        <w:rPr>
          <w:rFonts w:cs="Arial" w:ascii="Arial" w:hAnsi="Arial"/>
          <w:lang w:eastAsia="it-IT"/>
        </w:rPr>
        <w:t>Desktop” – l’accesso al servizio avviene mediante un computer a cui è collegato un lettore di smart card contactless per la lettura della CIE. Per abilitare il funzionamento della CIE sul proprio computer è necessario installare prima il “Software CIE”;</w:t>
      </w:r>
    </w:p>
    <w:p>
      <w:pPr>
        <w:pStyle w:val="ListParagraph"/>
        <w:numPr>
          <w:ilvl w:val="0"/>
          <w:numId w:val="4"/>
        </w:numPr>
        <w:jc w:val="both"/>
        <w:rPr>
          <w:rFonts w:ascii="Arial" w:hAnsi="Arial" w:cs="Arial"/>
          <w:lang w:eastAsia="it-IT"/>
        </w:rPr>
      </w:pPr>
      <w:r>
        <w:rPr>
          <w:rFonts w:cs="Arial" w:ascii="Arial" w:hAnsi="Arial"/>
          <w:lang w:eastAsia="it-IT"/>
        </w:rPr>
        <w:t>“</w:t>
      </w:r>
      <w:r>
        <w:rPr>
          <w:rFonts w:cs="Arial" w:ascii="Arial" w:hAnsi="Arial"/>
          <w:lang w:eastAsia="it-IT"/>
        </w:rPr>
        <w:t>Mobile” – l’utente accede al servizio mediante uno smartphone dotato di interfaccia NFC e dell’app “Cie ID” e con lo stesso effettua la lettura della CIE;</w:t>
      </w:r>
    </w:p>
    <w:p>
      <w:pPr>
        <w:pStyle w:val="ListParagraph"/>
        <w:numPr>
          <w:ilvl w:val="0"/>
          <w:numId w:val="4"/>
        </w:numPr>
        <w:jc w:val="both"/>
        <w:rPr>
          <w:rFonts w:ascii="Arial" w:hAnsi="Arial" w:cs="Arial"/>
          <w:lang w:eastAsia="it-IT"/>
        </w:rPr>
      </w:pPr>
      <w:r>
        <w:rPr>
          <w:rFonts w:cs="Arial" w:ascii="Arial" w:hAnsi="Arial"/>
          <w:lang w:eastAsia="it-IT"/>
        </w:rPr>
        <w:t>“</w:t>
      </w:r>
      <w:r>
        <w:rPr>
          <w:rFonts w:cs="Arial" w:ascii="Arial" w:hAnsi="Arial"/>
          <w:lang w:eastAsia="it-IT"/>
        </w:rPr>
        <w:t>Desktop con smartphone” – l’accesso al servizio avviene da computer e per la lettura della   CIE, al posto del lettore di smart card contactless, l’utente utilizza il proprio smartphone dotato di interfaccia NFC e dell’app “Cie ID”.</w:t>
      </w:r>
    </w:p>
    <w:p>
      <w:pPr>
        <w:pStyle w:val="Titolo2"/>
        <w:spacing w:lineRule="auto" w:line="360"/>
        <w:rPr>
          <w:color w:val="F98F37"/>
        </w:rPr>
      </w:pPr>
      <w:bookmarkStart w:id="1" w:name="_Toc123217342"/>
      <w:r>
        <w:rPr>
          <w:rFonts w:cs="Calibri" w:ascii="Calibri" w:hAnsi="Calibri" w:asciiTheme="minorHAnsi" w:cstheme="minorHAnsi" w:hAnsiTheme="minorHAnsi"/>
          <w:color w:val="F98F37"/>
          <w:lang w:eastAsia="it-IT"/>
        </w:rPr>
        <w:t>Cosa prevede il servizio</w:t>
      </w:r>
      <w:bookmarkEnd w:id="1"/>
    </w:p>
    <w:p>
      <w:pPr>
        <w:pStyle w:val="Normal"/>
        <w:jc w:val="both"/>
        <w:rPr>
          <w:rFonts w:ascii="Arial" w:hAnsi="Arial" w:cs="Arial"/>
          <w:lang w:eastAsia="it-IT"/>
        </w:rPr>
      </w:pPr>
      <w:r>
        <w:rPr>
          <w:rFonts w:cs="Arial" w:ascii="Arial" w:hAnsi="Arial"/>
          <w:lang w:eastAsia="it-IT"/>
        </w:rPr>
        <w:t>Il servizio offre all’Ente il supporto per tutte le fasi che la Federazione erogatori servizi richiede per l’attivazione accesso con CIE:</w:t>
      </w:r>
    </w:p>
    <w:p>
      <w:pPr>
        <w:pStyle w:val="ListParagraph"/>
        <w:numPr>
          <w:ilvl w:val="0"/>
          <w:numId w:val="1"/>
        </w:numPr>
        <w:jc w:val="both"/>
        <w:rPr>
          <w:rFonts w:ascii="Arial" w:hAnsi="Arial" w:cs="Arial"/>
          <w:lang w:eastAsia="it-IT"/>
        </w:rPr>
      </w:pPr>
      <w:r>
        <w:rPr>
          <w:rFonts w:cs="Arial" w:ascii="Arial" w:hAnsi="Arial"/>
          <w:color w:val="1C2024"/>
        </w:rPr>
        <w:t>Creazione metadata</w:t>
      </w:r>
      <w:r>
        <w:rPr>
          <w:rFonts w:cs="Arial" w:ascii="Arial" w:hAnsi="Arial"/>
          <w:lang w:eastAsia="it-IT"/>
        </w:rPr>
        <w:t>;</w:t>
      </w:r>
    </w:p>
    <w:p>
      <w:pPr>
        <w:pStyle w:val="ListParagraph"/>
        <w:numPr>
          <w:ilvl w:val="0"/>
          <w:numId w:val="1"/>
        </w:numPr>
        <w:jc w:val="both"/>
        <w:rPr>
          <w:rFonts w:ascii="Arial" w:hAnsi="Arial" w:cs="Arial"/>
          <w:lang w:eastAsia="it-IT"/>
        </w:rPr>
      </w:pPr>
      <w:r>
        <w:rPr>
          <w:rFonts w:cs="Arial" w:ascii="Arial" w:hAnsi="Arial"/>
          <w:color w:val="1C2024"/>
        </w:rPr>
        <w:t>Procedura amministrativa: registrazione al portale “Federazione Erogatori Servizi” e richiesta formale di adesione al servizio “Entra con CIE”</w:t>
      </w:r>
      <w:r>
        <w:rPr>
          <w:rFonts w:cs="Arial" w:ascii="Arial" w:hAnsi="Arial"/>
          <w:lang w:eastAsia="it-IT"/>
        </w:rPr>
        <w:t>;</w:t>
      </w:r>
    </w:p>
    <w:p>
      <w:pPr>
        <w:pStyle w:val="ListParagraph"/>
        <w:numPr>
          <w:ilvl w:val="0"/>
          <w:numId w:val="1"/>
        </w:numPr>
        <w:jc w:val="both"/>
        <w:rPr>
          <w:rFonts w:ascii="Arial" w:hAnsi="Arial" w:cs="Arial"/>
          <w:lang w:eastAsia="it-IT"/>
        </w:rPr>
      </w:pPr>
      <w:r>
        <w:rPr>
          <w:rFonts w:cs="Arial" w:ascii="Arial" w:hAnsi="Arial"/>
          <w:lang w:eastAsia="it-IT"/>
        </w:rPr>
        <w:t>Procedura tecnica: test propedeutici all’attivazione del servizio;</w:t>
      </w:r>
    </w:p>
    <w:p>
      <w:pPr>
        <w:pStyle w:val="ListParagraph"/>
        <w:numPr>
          <w:ilvl w:val="0"/>
          <w:numId w:val="1"/>
        </w:numPr>
        <w:jc w:val="both"/>
        <w:rPr>
          <w:rFonts w:ascii="Arial" w:hAnsi="Arial" w:cs="Arial"/>
          <w:lang w:eastAsia="it-IT"/>
        </w:rPr>
      </w:pPr>
      <w:r>
        <w:rPr>
          <w:rFonts w:cs="Arial" w:ascii="Arial" w:hAnsi="Arial"/>
          <w:lang w:eastAsia="it-IT"/>
        </w:rPr>
        <w:t>Inserimento dell’Ente nella lista degli Erogatori servizi abilitati.</w:t>
      </w:r>
    </w:p>
    <w:p>
      <w:pPr>
        <w:pStyle w:val="Normal"/>
        <w:jc w:val="both"/>
        <w:rPr>
          <w:rFonts w:ascii="Arial" w:hAnsi="Arial" w:cs="Arial"/>
          <w:lang w:eastAsia="it-IT"/>
        </w:rPr>
      </w:pPr>
      <w:r>
        <w:rPr>
          <w:rFonts w:cs="Arial" w:ascii="Arial" w:hAnsi="Arial"/>
          <w:lang w:eastAsia="it-IT"/>
        </w:rPr>
        <w:t>Si ricorda che per poter procedere con l’attivazione della CIE è necessario che il Comune sia in possesso di un certificato SSL.</w:t>
      </w:r>
    </w:p>
    <w:p>
      <w:pPr>
        <w:pStyle w:val="Titolo2"/>
        <w:spacing w:lineRule="auto" w:line="360"/>
        <w:rPr>
          <w:color w:val="F98F37"/>
        </w:rPr>
      </w:pPr>
      <w:bookmarkStart w:id="2" w:name="_Toc123217343"/>
      <w:r>
        <w:rPr>
          <w:rFonts w:cs="Calibri" w:ascii="Calibri" w:hAnsi="Calibri" w:asciiTheme="minorHAnsi" w:cstheme="minorHAnsi" w:hAnsiTheme="minorHAnsi"/>
          <w:color w:val="F98F37"/>
          <w:lang w:eastAsia="it-IT"/>
        </w:rPr>
        <w:t>Vantaggi</w:t>
      </w:r>
      <w:bookmarkEnd w:id="2"/>
    </w:p>
    <w:p>
      <w:pPr>
        <w:pStyle w:val="Normal"/>
        <w:jc w:val="both"/>
        <w:rPr>
          <w:rFonts w:ascii="Arial" w:hAnsi="Arial" w:cs="Arial"/>
        </w:rPr>
      </w:pPr>
      <w:r>
        <mc:AlternateContent>
          <mc:Choice Requires="wps">
            <w:drawing>
              <wp:anchor behindDoc="0" distT="45720" distB="45720" distL="0" distR="114300" simplePos="0" locked="0" layoutInCell="0" allowOverlap="1" relativeHeight="27" wp14:anchorId="498C38FC">
                <wp:simplePos x="0" y="0"/>
                <wp:positionH relativeFrom="margin">
                  <wp:align>left</wp:align>
                </wp:positionH>
                <wp:positionV relativeFrom="paragraph">
                  <wp:posOffset>285115</wp:posOffset>
                </wp:positionV>
                <wp:extent cx="5075555" cy="1181735"/>
                <wp:effectExtent l="0" t="0" r="0" b="0"/>
                <wp:wrapSquare wrapText="bothSides"/>
                <wp:docPr id="1" name="Casella di testo 2"/>
                <a:graphic xmlns:a="http://schemas.openxmlformats.org/drawingml/2006/main">
                  <a:graphicData uri="http://schemas.microsoft.com/office/word/2010/wordprocessingShape">
                    <wps:wsp>
                      <wps:cNvSpPr/>
                      <wps:spPr>
                        <a:xfrm>
                          <a:off x="0" y="0"/>
                          <a:ext cx="5074920" cy="1181160"/>
                        </a:xfrm>
                        <a:prstGeom prst="rect">
                          <a:avLst/>
                        </a:prstGeom>
                        <a:solidFill>
                          <a:schemeClr val="accent2">
                            <a:lumMod val="20000"/>
                            <a:lumOff val="80000"/>
                          </a:schemeClr>
                        </a:solidFill>
                        <a:ln w="9525">
                          <a:noFill/>
                        </a:ln>
                      </wps:spPr>
                      <wps:style>
                        <a:lnRef idx="0"/>
                        <a:fillRef idx="0"/>
                        <a:effectRef idx="0"/>
                        <a:fontRef idx="minor"/>
                      </wps:style>
                      <wps:txbx>
                        <w:txbxContent>
                          <w:p>
                            <w:pPr>
                              <w:pStyle w:val="Contenutocornice"/>
                              <w:spacing w:before="0" w:after="0"/>
                              <w:contextualSpacing/>
                              <w:jc w:val="both"/>
                              <w:rPr>
                                <w:rFonts w:ascii="Arial" w:hAnsi="Arial" w:cs="Arial"/>
                                <w:b/>
                                <w:b/>
                                <w:bCs/>
                                <w:lang w:eastAsia="it-IT"/>
                              </w:rPr>
                            </w:pPr>
                            <w:r>
                              <w:rPr>
                                <w:rFonts w:cs="Arial" w:ascii="Arial" w:hAnsi="Arial"/>
                                <w:b/>
                                <w:bCs/>
                                <w:lang w:eastAsia="it-IT"/>
                              </w:rPr>
                              <w:t>Vantaggi per gli Amministratori e Segretari comunali:</w:t>
                            </w:r>
                          </w:p>
                          <w:p>
                            <w:pPr>
                              <w:pStyle w:val="ListParagraph"/>
                              <w:numPr>
                                <w:ilvl w:val="0"/>
                                <w:numId w:val="5"/>
                              </w:numPr>
                              <w:jc w:val="both"/>
                              <w:rPr>
                                <w:rFonts w:ascii="Arial" w:hAnsi="Arial" w:cs="Arial"/>
                                <w:sz w:val="20"/>
                                <w:szCs w:val="20"/>
                                <w:lang w:eastAsia="it-IT"/>
                              </w:rPr>
                            </w:pPr>
                            <w:r>
                              <w:rPr>
                                <w:rFonts w:cs="Arial" w:ascii="Arial" w:hAnsi="Arial"/>
                                <w:b/>
                                <w:bCs/>
                                <w:sz w:val="20"/>
                                <w:szCs w:val="20"/>
                                <w:lang w:eastAsia="it-IT"/>
                              </w:rPr>
                              <w:t>Adeguamento del portale web secondo la normativa</w:t>
                            </w:r>
                            <w:r>
                              <w:rPr>
                                <w:rFonts w:cs="Arial" w:ascii="Arial" w:hAnsi="Arial"/>
                                <w:sz w:val="20"/>
                                <w:szCs w:val="20"/>
                                <w:lang w:eastAsia="it-IT"/>
                              </w:rPr>
                              <w:t xml:space="preserve"> prevista dal Decreto Semplificazione e Innovazione digitale (DL n. 76/2020);</w:t>
                            </w:r>
                          </w:p>
                          <w:p>
                            <w:pPr>
                              <w:pStyle w:val="ListParagraph"/>
                              <w:numPr>
                                <w:ilvl w:val="0"/>
                                <w:numId w:val="5"/>
                              </w:numPr>
                              <w:jc w:val="both"/>
                              <w:rPr>
                                <w:rFonts w:ascii="Arial" w:hAnsi="Arial" w:cs="Arial"/>
                                <w:sz w:val="20"/>
                                <w:szCs w:val="20"/>
                                <w:lang w:eastAsia="it-IT"/>
                              </w:rPr>
                            </w:pPr>
                            <w:r>
                              <w:rPr>
                                <w:rFonts w:cs="Arial" w:ascii="Arial" w:hAnsi="Arial"/>
                                <w:b/>
                                <w:bCs/>
                                <w:sz w:val="20"/>
                                <w:szCs w:val="20"/>
                                <w:lang w:eastAsia="it-IT"/>
                              </w:rPr>
                              <w:t xml:space="preserve">Accesso ai servizi pubblici </w:t>
                            </w:r>
                            <w:r>
                              <w:rPr>
                                <w:rFonts w:cs="Arial" w:ascii="Arial" w:hAnsi="Arial"/>
                                <w:sz w:val="20"/>
                                <w:szCs w:val="20"/>
                                <w:lang w:eastAsia="it-IT"/>
                              </w:rPr>
                              <w:t xml:space="preserve">Nazionali ed Europei </w:t>
                            </w:r>
                            <w:r>
                              <w:rPr>
                                <w:rFonts w:cs="Arial" w:ascii="Arial" w:hAnsi="Arial"/>
                                <w:b/>
                                <w:bCs/>
                                <w:sz w:val="20"/>
                                <w:szCs w:val="20"/>
                                <w:lang w:eastAsia="it-IT"/>
                              </w:rPr>
                              <w:t>più facile, sicuro ed omogeneo;</w:t>
                            </w:r>
                          </w:p>
                          <w:p>
                            <w:pPr>
                              <w:pStyle w:val="ListParagraph"/>
                              <w:numPr>
                                <w:ilvl w:val="0"/>
                                <w:numId w:val="5"/>
                              </w:numPr>
                              <w:spacing w:before="0" w:after="160"/>
                              <w:contextualSpacing/>
                              <w:jc w:val="both"/>
                              <w:rPr>
                                <w:rFonts w:ascii="Arial" w:hAnsi="Arial" w:cs="Arial"/>
                                <w:sz w:val="20"/>
                                <w:szCs w:val="20"/>
                                <w:lang w:eastAsia="it-IT"/>
                              </w:rPr>
                            </w:pPr>
                            <w:r>
                              <w:rPr>
                                <w:rFonts w:cs="Arial" w:ascii="Arial" w:hAnsi="Arial"/>
                                <w:b/>
                                <w:bCs/>
                                <w:sz w:val="20"/>
                                <w:szCs w:val="20"/>
                                <w:lang w:eastAsia="it-IT"/>
                              </w:rPr>
                              <w:t>Prezzi chiari e definiti.</w:t>
                            </w:r>
                          </w:p>
                        </w:txbxContent>
                      </wps:txbx>
                      <wps:bodyPr>
                        <a:noAutofit/>
                      </wps:bodyPr>
                    </wps:wsp>
                  </a:graphicData>
                </a:graphic>
              </wp:anchor>
            </w:drawing>
          </mc:Choice>
          <mc:Fallback>
            <w:pict>
              <v:rect id="shape_0" ID="Casella di testo 2" fillcolor="#fbe5d6" stroked="f" style="position:absolute;margin-left:0pt;margin-top:22.45pt;width:399.55pt;height:92.95pt;mso-position-horizontal:left;mso-position-horizontal-relative:margin" wp14:anchorId="498C38FC">
                <w10:wrap type="square"/>
                <v:fill o:detectmouseclick="t" type="solid" color2="#041a29"/>
                <v:stroke color="#3465a4" weight="9360" joinstyle="miter" endcap="flat"/>
                <v:textbox>
                  <w:txbxContent>
                    <w:p>
                      <w:pPr>
                        <w:pStyle w:val="Contenutocornice"/>
                        <w:spacing w:before="0" w:after="0"/>
                        <w:contextualSpacing/>
                        <w:jc w:val="both"/>
                        <w:rPr>
                          <w:rFonts w:ascii="Arial" w:hAnsi="Arial" w:cs="Arial"/>
                          <w:b/>
                          <w:b/>
                          <w:bCs/>
                          <w:lang w:eastAsia="it-IT"/>
                        </w:rPr>
                      </w:pPr>
                      <w:r>
                        <w:rPr>
                          <w:rFonts w:cs="Arial" w:ascii="Arial" w:hAnsi="Arial"/>
                          <w:b/>
                          <w:bCs/>
                          <w:lang w:eastAsia="it-IT"/>
                        </w:rPr>
                        <w:t>Vantaggi per gli Amministratori e Segretari comunali:</w:t>
                      </w:r>
                    </w:p>
                    <w:p>
                      <w:pPr>
                        <w:pStyle w:val="ListParagraph"/>
                        <w:numPr>
                          <w:ilvl w:val="0"/>
                          <w:numId w:val="5"/>
                        </w:numPr>
                        <w:jc w:val="both"/>
                        <w:rPr>
                          <w:rFonts w:ascii="Arial" w:hAnsi="Arial" w:cs="Arial"/>
                          <w:sz w:val="20"/>
                          <w:szCs w:val="20"/>
                          <w:lang w:eastAsia="it-IT"/>
                        </w:rPr>
                      </w:pPr>
                      <w:r>
                        <w:rPr>
                          <w:rFonts w:cs="Arial" w:ascii="Arial" w:hAnsi="Arial"/>
                          <w:b/>
                          <w:bCs/>
                          <w:sz w:val="20"/>
                          <w:szCs w:val="20"/>
                          <w:lang w:eastAsia="it-IT"/>
                        </w:rPr>
                        <w:t>Adeguamento del portale web secondo la normativa</w:t>
                      </w:r>
                      <w:r>
                        <w:rPr>
                          <w:rFonts w:cs="Arial" w:ascii="Arial" w:hAnsi="Arial"/>
                          <w:sz w:val="20"/>
                          <w:szCs w:val="20"/>
                          <w:lang w:eastAsia="it-IT"/>
                        </w:rPr>
                        <w:t xml:space="preserve"> prevista dal Decreto Semplificazione e Innovazione digitale (DL n. 76/2020);</w:t>
                      </w:r>
                    </w:p>
                    <w:p>
                      <w:pPr>
                        <w:pStyle w:val="ListParagraph"/>
                        <w:numPr>
                          <w:ilvl w:val="0"/>
                          <w:numId w:val="5"/>
                        </w:numPr>
                        <w:jc w:val="both"/>
                        <w:rPr>
                          <w:rFonts w:ascii="Arial" w:hAnsi="Arial" w:cs="Arial"/>
                          <w:sz w:val="20"/>
                          <w:szCs w:val="20"/>
                          <w:lang w:eastAsia="it-IT"/>
                        </w:rPr>
                      </w:pPr>
                      <w:r>
                        <w:rPr>
                          <w:rFonts w:cs="Arial" w:ascii="Arial" w:hAnsi="Arial"/>
                          <w:b/>
                          <w:bCs/>
                          <w:sz w:val="20"/>
                          <w:szCs w:val="20"/>
                          <w:lang w:eastAsia="it-IT"/>
                        </w:rPr>
                        <w:t xml:space="preserve">Accesso ai servizi pubblici </w:t>
                      </w:r>
                      <w:r>
                        <w:rPr>
                          <w:rFonts w:cs="Arial" w:ascii="Arial" w:hAnsi="Arial"/>
                          <w:sz w:val="20"/>
                          <w:szCs w:val="20"/>
                          <w:lang w:eastAsia="it-IT"/>
                        </w:rPr>
                        <w:t xml:space="preserve">Nazionali ed Europei </w:t>
                      </w:r>
                      <w:r>
                        <w:rPr>
                          <w:rFonts w:cs="Arial" w:ascii="Arial" w:hAnsi="Arial"/>
                          <w:b/>
                          <w:bCs/>
                          <w:sz w:val="20"/>
                          <w:szCs w:val="20"/>
                          <w:lang w:eastAsia="it-IT"/>
                        </w:rPr>
                        <w:t>più facile, sicuro ed omogeneo;</w:t>
                      </w:r>
                    </w:p>
                    <w:p>
                      <w:pPr>
                        <w:pStyle w:val="ListParagraph"/>
                        <w:numPr>
                          <w:ilvl w:val="0"/>
                          <w:numId w:val="5"/>
                        </w:numPr>
                        <w:spacing w:before="0" w:after="160"/>
                        <w:contextualSpacing/>
                        <w:jc w:val="both"/>
                        <w:rPr>
                          <w:rFonts w:ascii="Arial" w:hAnsi="Arial" w:cs="Arial"/>
                          <w:sz w:val="20"/>
                          <w:szCs w:val="20"/>
                          <w:lang w:eastAsia="it-IT"/>
                        </w:rPr>
                      </w:pPr>
                      <w:r>
                        <w:rPr>
                          <w:rFonts w:cs="Arial" w:ascii="Arial" w:hAnsi="Arial"/>
                          <w:b/>
                          <w:bCs/>
                          <w:sz w:val="20"/>
                          <w:szCs w:val="20"/>
                          <w:lang w:eastAsia="it-IT"/>
                        </w:rPr>
                        <w:t>Prezzi chiari e definiti.</w:t>
                      </w:r>
                    </w:p>
                  </w:txbxContent>
                </v:textbox>
              </v:rect>
            </w:pict>
          </mc:Fallback>
        </mc:AlternateContent>
        <mc:AlternateContent>
          <mc:Choice Requires="wps">
            <w:drawing>
              <wp:anchor behindDoc="0" distT="45720" distB="45720" distL="114300" distR="114300" simplePos="0" locked="0" layoutInCell="0" allowOverlap="1" relativeHeight="29" wp14:anchorId="33526359">
                <wp:simplePos x="0" y="0"/>
                <wp:positionH relativeFrom="margin">
                  <wp:posOffset>2540</wp:posOffset>
                </wp:positionH>
                <wp:positionV relativeFrom="paragraph">
                  <wp:posOffset>1361440</wp:posOffset>
                </wp:positionV>
                <wp:extent cx="6477635" cy="785495"/>
                <wp:effectExtent l="0" t="0" r="0" b="0"/>
                <wp:wrapSquare wrapText="bothSides"/>
                <wp:docPr id="3" name="Casella di testo 2"/>
                <a:graphic xmlns:a="http://schemas.openxmlformats.org/drawingml/2006/main">
                  <a:graphicData uri="http://schemas.microsoft.com/office/word/2010/wordprocessingShape">
                    <wps:wsp>
                      <wps:cNvSpPr/>
                      <wps:spPr>
                        <a:xfrm>
                          <a:off x="0" y="0"/>
                          <a:ext cx="6477120" cy="784800"/>
                        </a:xfrm>
                        <a:prstGeom prst="rect">
                          <a:avLst/>
                        </a:prstGeom>
                        <a:solidFill>
                          <a:schemeClr val="accent2">
                            <a:lumMod val="20000"/>
                            <a:lumOff val="80000"/>
                          </a:schemeClr>
                        </a:solidFill>
                        <a:ln w="9525">
                          <a:noFill/>
                        </a:ln>
                      </wps:spPr>
                      <wps:style>
                        <a:lnRef idx="0"/>
                        <a:fillRef idx="0"/>
                        <a:effectRef idx="0"/>
                        <a:fontRef idx="minor"/>
                      </wps:style>
                      <wps:txbx>
                        <w:txbxContent>
                          <w:p>
                            <w:pPr>
                              <w:pStyle w:val="Contenutocornice"/>
                              <w:spacing w:before="0" w:after="0"/>
                              <w:jc w:val="both"/>
                              <w:rPr>
                                <w:rFonts w:ascii="Arial" w:hAnsi="Arial" w:cs="Arial"/>
                                <w:b/>
                                <w:b/>
                                <w:bCs/>
                                <w:lang w:eastAsia="it-IT"/>
                              </w:rPr>
                            </w:pPr>
                            <w:r>
                              <w:rPr>
                                <w:rFonts w:cs="Arial" w:ascii="Arial" w:hAnsi="Arial"/>
                                <w:b/>
                                <w:bCs/>
                                <w:lang w:eastAsia="it-IT"/>
                              </w:rPr>
                              <w:t>Vantaggi per il personale amministrativo:</w:t>
                            </w:r>
                          </w:p>
                          <w:p>
                            <w:pPr>
                              <w:pStyle w:val="ListParagraph"/>
                              <w:numPr>
                                <w:ilvl w:val="0"/>
                                <w:numId w:val="5"/>
                              </w:numPr>
                              <w:jc w:val="both"/>
                              <w:rPr>
                                <w:rFonts w:ascii="Arial" w:hAnsi="Arial" w:cs="Arial"/>
                                <w:sz w:val="20"/>
                                <w:szCs w:val="20"/>
                                <w:lang w:eastAsia="it-IT"/>
                              </w:rPr>
                            </w:pPr>
                            <w:r>
                              <w:rPr>
                                <w:rFonts w:cs="Arial" w:ascii="Arial" w:hAnsi="Arial"/>
                                <w:b/>
                                <w:bCs/>
                                <w:sz w:val="20"/>
                                <w:szCs w:val="20"/>
                                <w:lang w:eastAsia="it-IT"/>
                              </w:rPr>
                              <w:t xml:space="preserve">Aumento della flessibilità organizzativa: </w:t>
                            </w:r>
                            <w:r>
                              <w:rPr>
                                <w:rFonts w:cs="Arial" w:ascii="Arial" w:hAnsi="Arial"/>
                                <w:sz w:val="20"/>
                                <w:szCs w:val="20"/>
                                <w:lang w:eastAsia="it-IT"/>
                              </w:rPr>
                              <w:t>le risorse interne possono dedicarsi ad altre attività senza perdere il controllo sull’operato;</w:t>
                            </w:r>
                          </w:p>
                          <w:p>
                            <w:pPr>
                              <w:pStyle w:val="ListParagraph"/>
                              <w:numPr>
                                <w:ilvl w:val="0"/>
                                <w:numId w:val="5"/>
                              </w:numPr>
                              <w:spacing w:before="0" w:after="160"/>
                              <w:contextualSpacing/>
                              <w:jc w:val="both"/>
                              <w:rPr>
                                <w:rFonts w:ascii="Arial" w:hAnsi="Arial" w:cs="Arial"/>
                                <w:sz w:val="20"/>
                                <w:szCs w:val="20"/>
                                <w:lang w:eastAsia="it-IT"/>
                              </w:rPr>
                            </w:pPr>
                            <w:r>
                              <w:rPr>
                                <w:rFonts w:cs="Arial" w:ascii="Arial" w:hAnsi="Arial"/>
                                <w:b/>
                                <w:bCs/>
                                <w:sz w:val="20"/>
                                <w:szCs w:val="20"/>
                                <w:lang w:eastAsia="it-IT"/>
                              </w:rPr>
                              <w:t>Supporto di un tecnico specializzato.</w:t>
                            </w:r>
                          </w:p>
                        </w:txbxContent>
                      </wps:txbx>
                      <wps:bodyPr>
                        <a:noAutofit/>
                      </wps:bodyPr>
                    </wps:wsp>
                  </a:graphicData>
                </a:graphic>
              </wp:anchor>
            </w:drawing>
          </mc:Choice>
          <mc:Fallback>
            <w:pict>
              <v:rect id="shape_0" ID="Casella di testo 2" fillcolor="#fbe5d6" stroked="f" style="position:absolute;margin-left:0.2pt;margin-top:107.2pt;width:509.95pt;height:61.75pt;mso-position-horizontal-relative:margin" wp14:anchorId="33526359">
                <w10:wrap type="square"/>
                <v:fill o:detectmouseclick="t" type="solid" color2="#041a29"/>
                <v:stroke color="#3465a4" weight="9360" joinstyle="miter" endcap="flat"/>
                <v:textbox>
                  <w:txbxContent>
                    <w:p>
                      <w:pPr>
                        <w:pStyle w:val="Contenutocornice"/>
                        <w:spacing w:before="0" w:after="0"/>
                        <w:jc w:val="both"/>
                        <w:rPr>
                          <w:rFonts w:ascii="Arial" w:hAnsi="Arial" w:cs="Arial"/>
                          <w:b/>
                          <w:b/>
                          <w:bCs/>
                          <w:lang w:eastAsia="it-IT"/>
                        </w:rPr>
                      </w:pPr>
                      <w:r>
                        <w:rPr>
                          <w:rFonts w:cs="Arial" w:ascii="Arial" w:hAnsi="Arial"/>
                          <w:b/>
                          <w:bCs/>
                          <w:lang w:eastAsia="it-IT"/>
                        </w:rPr>
                        <w:t>Vantaggi per il personale amministrativo:</w:t>
                      </w:r>
                    </w:p>
                    <w:p>
                      <w:pPr>
                        <w:pStyle w:val="ListParagraph"/>
                        <w:numPr>
                          <w:ilvl w:val="0"/>
                          <w:numId w:val="5"/>
                        </w:numPr>
                        <w:jc w:val="both"/>
                        <w:rPr>
                          <w:rFonts w:ascii="Arial" w:hAnsi="Arial" w:cs="Arial"/>
                          <w:sz w:val="20"/>
                          <w:szCs w:val="20"/>
                          <w:lang w:eastAsia="it-IT"/>
                        </w:rPr>
                      </w:pPr>
                      <w:r>
                        <w:rPr>
                          <w:rFonts w:cs="Arial" w:ascii="Arial" w:hAnsi="Arial"/>
                          <w:b/>
                          <w:bCs/>
                          <w:sz w:val="20"/>
                          <w:szCs w:val="20"/>
                          <w:lang w:eastAsia="it-IT"/>
                        </w:rPr>
                        <w:t xml:space="preserve">Aumento della flessibilità organizzativa: </w:t>
                      </w:r>
                      <w:r>
                        <w:rPr>
                          <w:rFonts w:cs="Arial" w:ascii="Arial" w:hAnsi="Arial"/>
                          <w:sz w:val="20"/>
                          <w:szCs w:val="20"/>
                          <w:lang w:eastAsia="it-IT"/>
                        </w:rPr>
                        <w:t>le risorse interne possono dedicarsi ad altre attività senza perdere il controllo sull’operato;</w:t>
                      </w:r>
                    </w:p>
                    <w:p>
                      <w:pPr>
                        <w:pStyle w:val="ListParagraph"/>
                        <w:numPr>
                          <w:ilvl w:val="0"/>
                          <w:numId w:val="5"/>
                        </w:numPr>
                        <w:spacing w:before="0" w:after="160"/>
                        <w:contextualSpacing/>
                        <w:jc w:val="both"/>
                        <w:rPr>
                          <w:rFonts w:ascii="Arial" w:hAnsi="Arial" w:cs="Arial"/>
                          <w:sz w:val="20"/>
                          <w:szCs w:val="20"/>
                          <w:lang w:eastAsia="it-IT"/>
                        </w:rPr>
                      </w:pPr>
                      <w:r>
                        <w:rPr>
                          <w:rFonts w:cs="Arial" w:ascii="Arial" w:hAnsi="Arial"/>
                          <w:b/>
                          <w:bCs/>
                          <w:sz w:val="20"/>
                          <w:szCs w:val="20"/>
                          <w:lang w:eastAsia="it-IT"/>
                        </w:rPr>
                        <w:t>Supporto di un tecnico specializzato.</w:t>
                      </w:r>
                    </w:p>
                  </w:txbxContent>
                </v:textbox>
              </v:rect>
            </w:pict>
          </mc:Fallback>
        </mc:AlternateContent>
        <w:drawing>
          <wp:anchor behindDoc="0" distT="0" distB="0" distL="114300" distR="0" simplePos="0" locked="0" layoutInCell="0" allowOverlap="1" relativeHeight="28">
            <wp:simplePos x="0" y="0"/>
            <wp:positionH relativeFrom="margin">
              <wp:align>right</wp:align>
            </wp:positionH>
            <wp:positionV relativeFrom="paragraph">
              <wp:posOffset>274320</wp:posOffset>
            </wp:positionV>
            <wp:extent cx="1287780" cy="1005840"/>
            <wp:effectExtent l="0" t="0" r="0" b="0"/>
            <wp:wrapSquare wrapText="bothSides"/>
            <wp:docPr id="5"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descr=""/>
                    <pic:cNvPicPr>
                      <a:picLocks noChangeAspect="1" noChangeArrowheads="1"/>
                    </pic:cNvPicPr>
                  </pic:nvPicPr>
                  <pic:blipFill>
                    <a:blip r:embed="rId2"/>
                    <a:stretch>
                      <a:fillRect/>
                    </a:stretch>
                  </pic:blipFill>
                  <pic:spPr bwMode="auto">
                    <a:xfrm>
                      <a:off x="0" y="0"/>
                      <a:ext cx="1287780" cy="1005840"/>
                    </a:xfrm>
                    <a:prstGeom prst="rect">
                      <a:avLst/>
                    </a:prstGeom>
                  </pic:spPr>
                </pic:pic>
              </a:graphicData>
            </a:graphic>
          </wp:anchor>
        </w:drawing>
      </w:r>
      <w:r>
        <w:rPr>
          <w:rFonts w:cs="Arial" w:ascii="Arial" w:hAnsi="Arial"/>
        </w:rPr>
        <w:t>La sottoscrizione del servizio comporta numerosi vantaggi per l’Ente.</w:t>
      </w:r>
    </w:p>
    <w:p>
      <w:pPr>
        <w:pStyle w:val="Normal"/>
        <w:spacing w:lineRule="auto" w:line="240" w:before="0" w:after="0"/>
        <w:rPr>
          <w:rFonts w:eastAsia="Arial" w:cs="Calibri" w:cstheme="minorHAnsi" w:eastAsiaTheme="majorEastAsia"/>
          <w:color w:val="0066CC"/>
          <w:sz w:val="26"/>
          <w:szCs w:val="26"/>
          <w:lang w:eastAsia="it-IT"/>
        </w:rPr>
      </w:pPr>
      <w:r>
        <w:rPr>
          <w:rFonts w:eastAsia="Arial" w:cs="Calibri" w:cstheme="minorHAnsi" w:eastAsiaTheme="majorEastAsia"/>
          <w:color w:val="0066CC"/>
          <w:sz w:val="26"/>
          <w:szCs w:val="26"/>
          <w:lang w:eastAsia="it-IT"/>
        </w:rPr>
      </w:r>
    </w:p>
    <w:p>
      <w:pPr>
        <w:pStyle w:val="Titolo2"/>
        <w:spacing w:lineRule="auto" w:line="360"/>
        <w:rPr>
          <w:color w:val="F98F37"/>
        </w:rPr>
      </w:pPr>
      <w:bookmarkStart w:id="3" w:name="_Toc123217344"/>
      <w:r>
        <w:rPr>
          <w:rFonts w:cs="Calibri" w:ascii="Calibri" w:hAnsi="Calibri" w:asciiTheme="minorHAnsi" w:cstheme="minorHAnsi" w:hAnsiTheme="minorHAnsi"/>
          <w:color w:val="F98F37"/>
          <w:lang w:eastAsia="it-IT"/>
        </w:rPr>
        <w:t>Attività incluse nel servizio</w:t>
      </w:r>
      <w:bookmarkEnd w:id="3"/>
    </w:p>
    <w:tbl>
      <w:tblPr>
        <w:tblStyle w:val="Grigliatabella"/>
        <w:tblW w:w="1019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097"/>
        <w:gridCol w:w="5097"/>
      </w:tblGrid>
      <w:tr>
        <w:trPr>
          <w:trHeight w:val="567" w:hRule="atLeast"/>
        </w:trPr>
        <w:tc>
          <w:tcPr>
            <w:tcW w:w="5097" w:type="dxa"/>
            <w:tcBorders/>
            <w:shd w:color="auto" w:fill="E7E6E6" w:themeFill="background2" w:val="clear"/>
            <w:vAlign w:val="center"/>
          </w:tcPr>
          <w:p>
            <w:pPr>
              <w:pStyle w:val="Normal"/>
              <w:widowControl/>
              <w:suppressAutoHyphens w:val="true"/>
              <w:spacing w:lineRule="auto" w:line="240" w:before="0" w:after="0"/>
              <w:jc w:val="center"/>
              <w:rPr>
                <w:rFonts w:ascii="Arial" w:hAnsi="Arial" w:eastAsia="Calibri" w:cs="Arial"/>
                <w:b/>
                <w:b/>
                <w:bCs/>
                <w:color w:val="F98F37"/>
                <w:lang w:eastAsia="it-IT"/>
              </w:rPr>
            </w:pPr>
            <w:r>
              <w:rPr>
                <w:rFonts w:eastAsia="Calibri" w:cs="Arial" w:ascii="Arial" w:hAnsi="Arial"/>
                <w:b/>
                <w:bCs/>
                <w:color w:val="F98F37"/>
                <w:kern w:val="0"/>
                <w:sz w:val="22"/>
                <w:szCs w:val="22"/>
                <w:lang w:val="it-IT" w:eastAsia="it-IT" w:bidi="ar-SA"/>
              </w:rPr>
              <w:t>ATTIVITÀ</w:t>
            </w:r>
          </w:p>
        </w:tc>
        <w:tc>
          <w:tcPr>
            <w:tcW w:w="5097" w:type="dxa"/>
            <w:tcBorders/>
            <w:shd w:color="auto" w:fill="E7E6E6" w:themeFill="background2" w:val="clear"/>
            <w:vAlign w:val="center"/>
          </w:tcPr>
          <w:p>
            <w:pPr>
              <w:pStyle w:val="Normal"/>
              <w:widowControl/>
              <w:suppressAutoHyphens w:val="true"/>
              <w:spacing w:lineRule="auto" w:line="240" w:before="0" w:after="0"/>
              <w:jc w:val="center"/>
              <w:rPr>
                <w:rFonts w:ascii="Arial" w:hAnsi="Arial" w:eastAsia="Calibri" w:cs="Arial"/>
                <w:b/>
                <w:b/>
                <w:bCs/>
                <w:color w:val="F98F37"/>
                <w:lang w:eastAsia="it-IT"/>
              </w:rPr>
            </w:pPr>
            <w:r>
              <w:rPr>
                <w:rFonts w:eastAsia="Calibri" w:cs="Arial" w:ascii="Arial" w:hAnsi="Arial"/>
                <w:b/>
                <w:bCs/>
                <w:color w:val="F98F37"/>
                <w:kern w:val="0"/>
                <w:sz w:val="22"/>
                <w:szCs w:val="22"/>
                <w:lang w:val="it-IT" w:eastAsia="it-IT" w:bidi="ar-SA"/>
              </w:rPr>
              <w:t>SPECIFICHE</w:t>
            </w:r>
          </w:p>
        </w:tc>
      </w:tr>
      <w:tr>
        <w:trPr>
          <w:trHeight w:val="567" w:hRule="atLeast"/>
        </w:trPr>
        <w:tc>
          <w:tcPr>
            <w:tcW w:w="5097" w:type="dxa"/>
            <w:tcBorders/>
            <w:vAlign w:val="center"/>
          </w:tcPr>
          <w:p>
            <w:pPr>
              <w:pStyle w:val="Normal"/>
              <w:widowControl/>
              <w:suppressAutoHyphens w:val="false"/>
              <w:spacing w:lineRule="auto" w:line="276" w:before="0" w:after="0"/>
              <w:ind w:right="142" w:hanging="0"/>
              <w:jc w:val="both"/>
              <w:rPr>
                <w:rFonts w:ascii="Arial" w:hAnsi="Arial" w:eastAsia="Times New Roman" w:cs="Arial"/>
              </w:rPr>
            </w:pPr>
            <w:r>
              <w:rPr>
                <w:rFonts w:eastAsia="Times New Roman" w:cs="Arial" w:ascii="Arial" w:hAnsi="Arial"/>
                <w:kern w:val="0"/>
                <w:sz w:val="22"/>
                <w:szCs w:val="22"/>
                <w:lang w:val="it-IT" w:eastAsia="en-US" w:bidi="ar-SA"/>
              </w:rPr>
              <w:t>Creazione del metadata</w:t>
            </w:r>
          </w:p>
        </w:tc>
        <w:tc>
          <w:tcPr>
            <w:tcW w:w="5097" w:type="dxa"/>
            <w:tcBorders/>
            <w:vAlign w:val="center"/>
          </w:tcPr>
          <w:p>
            <w:pPr>
              <w:pStyle w:val="Normal"/>
              <w:widowControl/>
              <w:suppressAutoHyphens w:val="false"/>
              <w:spacing w:lineRule="auto" w:line="276" w:before="0" w:after="0"/>
              <w:ind w:right="142" w:hanging="0"/>
              <w:jc w:val="both"/>
              <w:rPr>
                <w:rFonts w:ascii="Arial" w:hAnsi="Arial" w:eastAsia="Times New Roman" w:cs="Arial"/>
              </w:rPr>
            </w:pPr>
            <w:r>
              <w:rPr>
                <w:rFonts w:eastAsia="Times New Roman" w:cs="Arial" w:ascii="Arial" w:hAnsi="Arial"/>
                <w:kern w:val="0"/>
                <w:sz w:val="22"/>
                <w:szCs w:val="22"/>
                <w:lang w:val="it-IT" w:eastAsia="en-US" w:bidi="ar-SA"/>
              </w:rPr>
              <w:t>Reperimento, in collaborazione con il referente comunale, delle informazioni necessarie per identificare ogni servizio.</w:t>
            </w:r>
          </w:p>
        </w:tc>
      </w:tr>
      <w:tr>
        <w:trPr>
          <w:trHeight w:val="567" w:hRule="atLeast"/>
        </w:trPr>
        <w:tc>
          <w:tcPr>
            <w:tcW w:w="5097" w:type="dxa"/>
            <w:tcBorders/>
            <w:vAlign w:val="center"/>
          </w:tcPr>
          <w:p>
            <w:pPr>
              <w:pStyle w:val="Normal"/>
              <w:widowControl/>
              <w:suppressAutoHyphens w:val="false"/>
              <w:spacing w:lineRule="auto" w:line="276" w:before="0" w:after="0"/>
              <w:ind w:right="142" w:hanging="0"/>
              <w:jc w:val="both"/>
              <w:rPr>
                <w:rFonts w:ascii="Arial" w:hAnsi="Arial" w:eastAsia="Times New Roman" w:cs="Arial"/>
              </w:rPr>
            </w:pPr>
            <w:r>
              <w:rPr>
                <w:rFonts w:eastAsia="Times New Roman" w:cs="Arial" w:ascii="Arial" w:hAnsi="Arial"/>
                <w:kern w:val="0"/>
                <w:sz w:val="22"/>
                <w:szCs w:val="22"/>
                <w:lang w:val="it-IT" w:eastAsia="en-US" w:bidi="ar-SA"/>
              </w:rPr>
              <w:t>Procedura amministrativa</w:t>
            </w:r>
          </w:p>
        </w:tc>
        <w:tc>
          <w:tcPr>
            <w:tcW w:w="5097" w:type="dxa"/>
            <w:tcBorders/>
            <w:vAlign w:val="center"/>
          </w:tcPr>
          <w:p>
            <w:pPr>
              <w:pStyle w:val="Normal"/>
              <w:widowControl/>
              <w:suppressAutoHyphens w:val="false"/>
              <w:spacing w:lineRule="auto" w:line="276" w:before="0" w:after="0"/>
              <w:ind w:right="142" w:hanging="0"/>
              <w:jc w:val="both"/>
              <w:rPr>
                <w:rFonts w:ascii="Arial" w:hAnsi="Arial" w:eastAsia="Times New Roman" w:cs="Arial"/>
              </w:rPr>
            </w:pPr>
            <w:r>
              <w:rPr>
                <w:rFonts w:eastAsia="Times New Roman" w:cs="Arial" w:ascii="Arial" w:hAnsi="Arial"/>
                <w:kern w:val="0"/>
                <w:sz w:val="22"/>
                <w:szCs w:val="22"/>
                <w:lang w:val="it-IT" w:eastAsia="en-US" w:bidi="ar-SA"/>
              </w:rPr>
              <w:t>Consegna del modulo predisposto da Halley per l’utilizzo della piattaforma che il comune dovrà inviare a App IO.</w:t>
            </w:r>
          </w:p>
        </w:tc>
      </w:tr>
      <w:tr>
        <w:trPr>
          <w:trHeight w:val="567" w:hRule="atLeast"/>
        </w:trPr>
        <w:tc>
          <w:tcPr>
            <w:tcW w:w="5097" w:type="dxa"/>
            <w:tcBorders/>
            <w:vAlign w:val="center"/>
          </w:tcPr>
          <w:p>
            <w:pPr>
              <w:pStyle w:val="Normal"/>
              <w:widowControl/>
              <w:suppressAutoHyphens w:val="false"/>
              <w:spacing w:lineRule="auto" w:line="276" w:before="0" w:after="0"/>
              <w:ind w:right="142" w:hanging="0"/>
              <w:jc w:val="both"/>
              <w:rPr>
                <w:rFonts w:ascii="Arial" w:hAnsi="Arial" w:eastAsia="Times New Roman" w:cs="Arial"/>
              </w:rPr>
            </w:pPr>
            <w:r>
              <w:rPr>
                <w:rFonts w:eastAsia="Times New Roman" w:cs="Arial" w:ascii="Arial" w:hAnsi="Arial"/>
                <w:kern w:val="0"/>
                <w:sz w:val="22"/>
                <w:szCs w:val="22"/>
                <w:lang w:val="it-IT" w:eastAsia="en-US" w:bidi="ar-SA"/>
              </w:rPr>
              <w:t>Procedura tecnica</w:t>
            </w:r>
          </w:p>
        </w:tc>
        <w:tc>
          <w:tcPr>
            <w:tcW w:w="5097" w:type="dxa"/>
            <w:tcBorders/>
            <w:vAlign w:val="center"/>
          </w:tcPr>
          <w:p>
            <w:pPr>
              <w:pStyle w:val="Normal"/>
              <w:widowControl/>
              <w:suppressAutoHyphens w:val="false"/>
              <w:spacing w:lineRule="auto" w:line="276" w:before="0" w:after="0"/>
              <w:ind w:right="142" w:hanging="0"/>
              <w:jc w:val="both"/>
              <w:rPr>
                <w:rFonts w:ascii="Arial" w:hAnsi="Arial" w:eastAsia="Times New Roman" w:cs="Arial"/>
              </w:rPr>
            </w:pPr>
            <w:r>
              <w:rPr>
                <w:rFonts w:eastAsia="Times New Roman" w:cs="Arial" w:ascii="Arial" w:hAnsi="Arial"/>
                <w:kern w:val="0"/>
                <w:sz w:val="22"/>
                <w:szCs w:val="22"/>
                <w:lang w:val="it-IT" w:eastAsia="en-US" w:bidi="ar-SA"/>
              </w:rPr>
              <w:t>Impostazione dei parametri, scadenze, adempimenti, tipi pratica, soggetti coinvolti, giorni di preavviso per le notifiche attivate.</w:t>
            </w:r>
          </w:p>
        </w:tc>
      </w:tr>
      <w:tr>
        <w:trPr>
          <w:trHeight w:val="567" w:hRule="atLeast"/>
        </w:trPr>
        <w:tc>
          <w:tcPr>
            <w:tcW w:w="5097" w:type="dxa"/>
            <w:tcBorders/>
            <w:vAlign w:val="center"/>
          </w:tcPr>
          <w:p>
            <w:pPr>
              <w:pStyle w:val="Normal"/>
              <w:widowControl/>
              <w:suppressAutoHyphens w:val="false"/>
              <w:spacing w:lineRule="auto" w:line="276" w:before="0" w:after="0"/>
              <w:ind w:right="142" w:hanging="0"/>
              <w:jc w:val="both"/>
              <w:rPr>
                <w:rFonts w:ascii="Arial" w:hAnsi="Arial" w:eastAsia="Times New Roman" w:cs="Arial"/>
              </w:rPr>
            </w:pPr>
            <w:r>
              <w:rPr>
                <w:rFonts w:eastAsia="Times New Roman" w:cs="Arial" w:ascii="Arial" w:hAnsi="Arial"/>
                <w:kern w:val="0"/>
                <w:sz w:val="22"/>
                <w:szCs w:val="22"/>
                <w:lang w:val="it-IT" w:eastAsia="en-US" w:bidi="ar-SA"/>
              </w:rPr>
              <w:t>Conferma procedura</w:t>
            </w:r>
          </w:p>
        </w:tc>
        <w:tc>
          <w:tcPr>
            <w:tcW w:w="5097" w:type="dxa"/>
            <w:tcBorders/>
            <w:vAlign w:val="center"/>
          </w:tcPr>
          <w:p>
            <w:pPr>
              <w:pStyle w:val="Normal"/>
              <w:widowControl/>
              <w:suppressAutoHyphens w:val="false"/>
              <w:spacing w:lineRule="auto" w:line="276" w:before="0" w:after="0"/>
              <w:ind w:right="142" w:hanging="0"/>
              <w:jc w:val="both"/>
              <w:rPr>
                <w:rFonts w:ascii="Arial" w:hAnsi="Arial" w:eastAsia="Times New Roman" w:cs="Arial"/>
              </w:rPr>
            </w:pPr>
            <w:r>
              <w:rPr>
                <w:rFonts w:eastAsia="Times New Roman" w:cs="Arial" w:ascii="Arial" w:hAnsi="Arial"/>
                <w:kern w:val="0"/>
                <w:sz w:val="22"/>
                <w:szCs w:val="22"/>
                <w:lang w:val="it-IT" w:eastAsia="en-US" w:bidi="ar-SA"/>
              </w:rPr>
              <w:t>Formazione agli operatori per il corretto utilizzo della procedura integrata con App IO.</w:t>
            </w:r>
          </w:p>
        </w:tc>
      </w:tr>
    </w:tbl>
    <w:p>
      <w:pPr>
        <w:pStyle w:val="Titolo2"/>
        <w:spacing w:lineRule="auto" w:line="360"/>
        <w:rPr>
          <w:rFonts w:ascii="Calibri" w:hAnsi="Calibri" w:cs="Calibri" w:asciiTheme="minorHAnsi" w:cstheme="minorHAnsi" w:hAnsiTheme="minorHAnsi"/>
          <w:color w:val="F98F37"/>
          <w:lang w:eastAsia="it-IT"/>
        </w:rPr>
      </w:pPr>
      <w:r>
        <w:rPr>
          <w:rFonts w:cs="Calibri" w:cstheme="minorHAnsi" w:ascii="Calibri" w:hAnsi="Calibri"/>
          <w:color w:val="F98F37"/>
          <w:lang w:eastAsia="it-IT"/>
        </w:rPr>
      </w:r>
    </w:p>
    <w:p>
      <w:pPr>
        <w:pStyle w:val="Titolo2"/>
        <w:spacing w:lineRule="auto" w:line="360"/>
        <w:rPr>
          <w:color w:val="F98F37"/>
        </w:rPr>
      </w:pPr>
      <w:bookmarkStart w:id="4" w:name="_Toc123217345"/>
      <w:r>
        <w:rPr>
          <w:rFonts w:cs="Calibri" w:ascii="Calibri" w:hAnsi="Calibri" w:asciiTheme="minorHAnsi" w:cstheme="minorHAnsi" w:hAnsiTheme="minorHAnsi"/>
          <w:color w:val="F98F37"/>
          <w:lang w:eastAsia="it-IT"/>
        </w:rPr>
        <w:t>Attività escluse</w:t>
      </w:r>
      <w:bookmarkEnd w:id="4"/>
    </w:p>
    <w:p>
      <w:pPr>
        <w:pStyle w:val="Normal"/>
        <w:jc w:val="both"/>
        <w:rPr>
          <w:rFonts w:ascii="Arial" w:hAnsi="Arial" w:cs="Arial"/>
          <w:lang w:eastAsia="it-IT"/>
        </w:rPr>
      </w:pPr>
      <w:r>
        <w:rPr>
          <w:rFonts w:cs="Arial" w:ascii="Arial" w:hAnsi="Arial"/>
          <w:lang w:eastAsia="it-IT"/>
        </w:rPr>
        <w:t>La presente offerta non comprende le attività per l’ottenimento del certificato SSL, requisito necessario per la pubblicazione del metadata.</w:t>
      </w:r>
    </w:p>
    <w:p>
      <w:pPr>
        <w:pStyle w:val="Normal"/>
        <w:spacing w:lineRule="auto" w:line="240" w:before="0" w:after="0"/>
        <w:rPr>
          <w:rFonts w:ascii="Arial" w:hAnsi="Arial" w:cs="Arial"/>
          <w:lang w:eastAsia="it-IT"/>
        </w:rPr>
      </w:pPr>
      <w:r>
        <w:rPr>
          <w:rFonts w:cs="Arial" w:ascii="Arial" w:hAnsi="Arial"/>
          <w:lang w:eastAsia="it-IT"/>
        </w:rPr>
      </w:r>
      <w:r>
        <w:br w:type="page"/>
      </w:r>
    </w:p>
    <w:p>
      <w:pPr>
        <w:pStyle w:val="Titolo1"/>
        <w:jc w:val="center"/>
        <w:rPr>
          <w:rFonts w:ascii="Calibri" w:hAnsi="Calibri" w:cs="Calibri" w:asciiTheme="minorHAnsi" w:cstheme="minorHAnsi" w:hAnsiTheme="minorHAnsi"/>
          <w:color w:val="F98F37"/>
          <w:lang w:eastAsia="it-IT"/>
        </w:rPr>
      </w:pPr>
      <w:bookmarkStart w:id="5" w:name="_Toc123217346"/>
      <w:r>
        <w:rPr>
          <w:rFonts w:cs="Calibri" w:ascii="Calibri" w:hAnsi="Calibri" w:asciiTheme="minorHAnsi" w:cstheme="minorHAnsi" w:hAnsiTheme="minorHAnsi"/>
          <w:color w:val="F98F37"/>
          <w:lang w:eastAsia="it-IT"/>
        </w:rPr>
        <w:t>MODALITÀ DI EROGAZIONE DEL SERVIZIO</w:t>
      </w:r>
      <w:bookmarkEnd w:id="5"/>
    </w:p>
    <w:p>
      <w:pPr>
        <w:pStyle w:val="Normal"/>
        <w:rPr>
          <w:sz w:val="18"/>
          <w:szCs w:val="18"/>
          <w:lang w:eastAsia="it-IT"/>
        </w:rPr>
      </w:pPr>
      <w:r>
        <w:rPr>
          <w:sz w:val="18"/>
          <w:szCs w:val="18"/>
          <w:lang w:eastAsia="it-IT"/>
        </w:rPr>
      </w:r>
    </w:p>
    <w:p>
      <w:pPr>
        <w:pStyle w:val="ListParagraph"/>
        <w:numPr>
          <w:ilvl w:val="0"/>
          <w:numId w:val="2"/>
        </w:numPr>
        <w:jc w:val="both"/>
        <w:rPr>
          <w:rFonts w:ascii="Arial" w:hAnsi="Arial" w:cs="Arial"/>
          <w:b/>
          <w:b/>
          <w:bCs/>
          <w:lang w:eastAsia="it-IT"/>
        </w:rPr>
      </w:pPr>
      <w:r>
        <w:rPr>
          <w:rFonts w:cs="Arial" w:ascii="Arial" w:hAnsi="Arial"/>
          <w:b/>
          <w:bCs/>
          <w:lang w:eastAsia="it-IT"/>
        </w:rPr>
        <w:t>Fase conoscitiva e organizzativa</w:t>
      </w:r>
    </w:p>
    <w:p>
      <w:pPr>
        <w:pStyle w:val="ListParagraph"/>
        <w:ind w:left="360" w:hanging="0"/>
        <w:jc w:val="both"/>
        <w:rPr>
          <w:rFonts w:ascii="Arial" w:hAnsi="Arial" w:cs="Arial"/>
          <w:lang w:eastAsia="it-IT"/>
        </w:rPr>
      </w:pPr>
      <w:r>
        <w:rPr>
          <w:rFonts w:cs="Arial" w:ascii="Arial" w:hAnsi="Arial"/>
          <w:lang w:eastAsia="it-IT"/>
        </w:rPr>
        <w:t>L’erogazione del servizio inizia con un colloquio tra il tecnico Halley SUD e il referente dell’Ufficio per fissare tempi e metodi di ogni attività che verrà svolta nel corso del servizio.</w:t>
      </w:r>
    </w:p>
    <w:p>
      <w:pPr>
        <w:pStyle w:val="ListParagraph"/>
        <w:ind w:left="360" w:hanging="0"/>
        <w:jc w:val="both"/>
        <w:rPr>
          <w:rFonts w:ascii="Arial" w:hAnsi="Arial" w:cs="Arial"/>
          <w:lang w:eastAsia="it-IT"/>
        </w:rPr>
      </w:pPr>
      <w:r>
        <w:rPr>
          <w:rFonts w:cs="Arial" w:ascii="Arial" w:hAnsi="Arial"/>
          <w:lang w:eastAsia="it-IT"/>
        </w:rPr>
      </w:r>
    </w:p>
    <w:p>
      <w:pPr>
        <w:pStyle w:val="ListParagraph"/>
        <w:numPr>
          <w:ilvl w:val="0"/>
          <w:numId w:val="2"/>
        </w:numPr>
        <w:jc w:val="both"/>
        <w:rPr>
          <w:rFonts w:ascii="Arial" w:hAnsi="Arial" w:cs="Arial"/>
          <w:b/>
          <w:b/>
          <w:bCs/>
          <w:lang w:eastAsia="it-IT"/>
        </w:rPr>
      </w:pPr>
      <w:r>
        <w:rPr>
          <w:rFonts w:cs="Arial" w:ascii="Arial" w:hAnsi="Arial"/>
          <w:b/>
          <w:bCs/>
          <w:lang w:eastAsia="it-IT"/>
        </w:rPr>
        <w:t>Operazioni preliminari</w:t>
      </w:r>
    </w:p>
    <w:p>
      <w:pPr>
        <w:pStyle w:val="ListParagraph"/>
        <w:ind w:left="360" w:hanging="0"/>
        <w:jc w:val="both"/>
        <w:rPr>
          <w:rFonts w:ascii="Arial" w:hAnsi="Arial" w:cs="Arial"/>
          <w:lang w:eastAsia="it-IT"/>
        </w:rPr>
      </w:pPr>
      <w:r>
        <w:rPr>
          <w:rFonts w:cs="Arial" w:ascii="Arial" w:hAnsi="Arial"/>
          <w:lang w:eastAsia="it-IT"/>
        </w:rPr>
        <w:t>Il tecnico Halley SUD contatta il referente per svolgere insieme la procedura di iscrizione al portale della Federazione erogatori servizi e la compilazione del format on line per la richiesta di accreditamento allo schema “Entra con CIE”.</w:t>
      </w:r>
    </w:p>
    <w:p>
      <w:pPr>
        <w:pStyle w:val="ListParagraph"/>
        <w:ind w:left="360" w:hanging="0"/>
        <w:jc w:val="both"/>
        <w:rPr>
          <w:rFonts w:ascii="Arial" w:hAnsi="Arial" w:cs="Arial"/>
          <w:lang w:eastAsia="it-IT"/>
        </w:rPr>
      </w:pPr>
      <w:r>
        <w:rPr>
          <w:rFonts w:cs="Arial" w:ascii="Arial" w:hAnsi="Arial"/>
          <w:lang w:eastAsia="it-IT"/>
        </w:rPr>
      </w:r>
    </w:p>
    <w:p>
      <w:pPr>
        <w:pStyle w:val="ListParagraph"/>
        <w:numPr>
          <w:ilvl w:val="0"/>
          <w:numId w:val="2"/>
        </w:numPr>
        <w:jc w:val="both"/>
        <w:rPr>
          <w:rFonts w:ascii="Arial" w:hAnsi="Arial" w:cs="Arial"/>
          <w:b/>
          <w:b/>
          <w:bCs/>
          <w:lang w:eastAsia="it-IT"/>
        </w:rPr>
      </w:pPr>
      <w:r>
        <w:rPr>
          <w:rFonts w:cs="Arial" w:ascii="Arial" w:hAnsi="Arial"/>
          <w:b/>
          <w:bCs/>
          <w:lang w:eastAsia="it-IT"/>
        </w:rPr>
        <w:t>Operazioni a regime</w:t>
      </w:r>
    </w:p>
    <w:p>
      <w:pPr>
        <w:pStyle w:val="ListParagraph"/>
        <w:ind w:left="360" w:hanging="0"/>
        <w:jc w:val="both"/>
        <w:rPr>
          <w:rFonts w:ascii="Arial" w:hAnsi="Arial" w:cs="Arial"/>
          <w:lang w:eastAsia="it-IT"/>
        </w:rPr>
      </w:pPr>
      <w:r>
        <w:rPr>
          <w:rFonts w:cs="Arial" w:ascii="Arial" w:hAnsi="Arial"/>
          <w:lang w:eastAsia="it-IT"/>
        </w:rPr>
        <w:t>In seguito alla comunicazione dell’Istituto Poligrafico e Zecca dello Stato di avvenuta federazione in ambiente di pre-produzione, il tecnico Halley SUD procederà con il test in ambiente di produzione. A test ultimato comunicherà la conferma del corretto funzionamento e della messa in esercizio per poter pubblicare il nome dell'ente nella lista delle Pubbliche Amministrazioni che hanno integrato l'accesso con ENTRA CON CIE ai propri servizi.</w:t>
      </w:r>
    </w:p>
    <w:p>
      <w:pPr>
        <w:pStyle w:val="ListParagraph"/>
        <w:ind w:left="360" w:hanging="0"/>
        <w:jc w:val="both"/>
        <w:rPr>
          <w:rFonts w:ascii="Arial" w:hAnsi="Arial" w:cs="Arial"/>
          <w:lang w:eastAsia="it-IT"/>
        </w:rPr>
      </w:pPr>
      <w:r>
        <w:rPr>
          <w:rFonts w:cs="Arial" w:ascii="Arial" w:hAnsi="Arial"/>
          <w:lang w:eastAsia="it-IT"/>
        </w:rPr>
      </w:r>
    </w:p>
    <w:p>
      <w:pPr>
        <w:pStyle w:val="ListParagraph"/>
        <w:numPr>
          <w:ilvl w:val="0"/>
          <w:numId w:val="2"/>
        </w:numPr>
        <w:jc w:val="both"/>
        <w:rPr>
          <w:rFonts w:ascii="Arial" w:hAnsi="Arial" w:cs="Arial"/>
          <w:b/>
          <w:b/>
          <w:bCs/>
          <w:lang w:eastAsia="it-IT"/>
        </w:rPr>
      </w:pPr>
      <w:r>
        <w:rPr>
          <w:rFonts w:cs="Arial" w:ascii="Arial" w:hAnsi="Arial"/>
          <w:b/>
          <w:bCs/>
          <w:lang w:eastAsia="it-IT"/>
        </w:rPr>
        <w:t>Collegamento da remoto e “operatore” dedicato</w:t>
      </w:r>
    </w:p>
    <w:p>
      <w:pPr>
        <w:pStyle w:val="ListParagraph"/>
        <w:ind w:left="360" w:hanging="0"/>
        <w:jc w:val="both"/>
        <w:rPr>
          <w:rFonts w:ascii="Arial" w:hAnsi="Arial" w:cs="Arial"/>
          <w:lang w:eastAsia="it-IT"/>
        </w:rPr>
      </w:pPr>
      <w:r>
        <w:rPr>
          <w:rFonts w:cs="Arial" w:ascii="Arial" w:hAnsi="Arial"/>
          <w:lang w:eastAsia="it-IT"/>
        </w:rPr>
        <w:t>Tutte le attività previste dal servizio avvengono tramite un collegamento da remoto. Halley SUD si collegherà direttamente alla procedura del Cliente, con un canale immediato, efficiente e sicuro che permette il costante aggiornamento degli archivi, i quali risulteranno consultabili in qualunque momento. Al fine di garantire la tracciabilità di tutte le attività svolte dai tecnici Halley SUD verrà creato un operatore apposito con le abilitazioni atte allo svolgimento del servizio.</w:t>
      </w:r>
    </w:p>
    <w:p>
      <w:pPr>
        <w:pStyle w:val="Titolo2"/>
        <w:spacing w:lineRule="auto" w:line="360"/>
        <w:jc w:val="both"/>
        <w:rPr>
          <w:rFonts w:ascii="Calibri" w:hAnsi="Calibri" w:cs="Calibri" w:asciiTheme="minorHAnsi" w:cstheme="minorHAnsi" w:hAnsiTheme="minorHAnsi"/>
          <w:color w:val="F98F37"/>
          <w:lang w:eastAsia="it-IT"/>
        </w:rPr>
      </w:pPr>
      <w:bookmarkStart w:id="6" w:name="_Toc123217347"/>
      <w:r>
        <w:rPr>
          <w:rFonts w:cs="Calibri" w:ascii="Calibri" w:hAnsi="Calibri" w:asciiTheme="minorHAnsi" w:cstheme="minorHAnsi" w:hAnsiTheme="minorHAnsi"/>
          <w:color w:val="F98F37"/>
          <w:lang w:eastAsia="it-IT"/>
        </w:rPr>
        <w:t>Cosa deve fare il Cliente</w:t>
      </w:r>
      <w:bookmarkEnd w:id="6"/>
    </w:p>
    <w:p>
      <w:pPr>
        <w:pStyle w:val="Normal"/>
        <w:jc w:val="both"/>
        <w:rPr>
          <w:rFonts w:ascii="Arial" w:hAnsi="Arial" w:cs="Arial"/>
          <w:lang w:eastAsia="it-IT"/>
        </w:rPr>
      </w:pPr>
      <w:r>
        <w:rPr>
          <w:rFonts w:cs="Arial" w:ascii="Arial" w:hAnsi="Arial"/>
          <w:lang w:eastAsia="it-IT"/>
        </w:rPr>
        <w:t>Al Cliente chiediamo di:</w:t>
      </w:r>
    </w:p>
    <w:p>
      <w:pPr>
        <w:pStyle w:val="ListParagraph"/>
        <w:numPr>
          <w:ilvl w:val="0"/>
          <w:numId w:val="3"/>
        </w:numPr>
        <w:jc w:val="both"/>
        <w:rPr>
          <w:rFonts w:ascii="Arial" w:hAnsi="Arial" w:cs="Arial"/>
          <w:lang w:eastAsia="it-IT"/>
        </w:rPr>
      </w:pPr>
      <w:r>
        <w:rPr>
          <w:rFonts w:cs="Arial" w:ascii="Arial" w:hAnsi="Arial"/>
          <w:lang w:eastAsia="it-IT"/>
        </w:rPr>
        <w:t>nominare un referente amministrativo all’interno del Comune;</w:t>
      </w:r>
    </w:p>
    <w:p>
      <w:pPr>
        <w:pStyle w:val="ListParagraph"/>
        <w:numPr>
          <w:ilvl w:val="0"/>
          <w:numId w:val="3"/>
        </w:numPr>
        <w:jc w:val="both"/>
        <w:rPr>
          <w:rFonts w:ascii="Arial" w:hAnsi="Arial" w:cs="Arial"/>
          <w:lang w:eastAsia="it-IT"/>
        </w:rPr>
      </w:pPr>
      <w:r>
        <w:rPr>
          <w:rFonts w:cs="Arial" w:ascii="Arial" w:hAnsi="Arial"/>
          <w:lang w:eastAsia="it-IT"/>
        </w:rPr>
        <w:t>collegarsi in teleassistenza con l’operatore Halley SUD per effettuare la registrazione e procedere alla compilazione del format online per la richiesta di accreditamento allo schema "Entra con CIE";</w:t>
      </w:r>
    </w:p>
    <w:p>
      <w:pPr>
        <w:pStyle w:val="ListParagraph"/>
        <w:numPr>
          <w:ilvl w:val="0"/>
          <w:numId w:val="3"/>
        </w:numPr>
        <w:jc w:val="both"/>
        <w:rPr>
          <w:rFonts w:ascii="Arial" w:hAnsi="Arial" w:cs="Arial"/>
          <w:lang w:eastAsia="it-IT"/>
        </w:rPr>
      </w:pPr>
      <w:r>
        <w:rPr>
          <w:rFonts w:cs="Arial" w:ascii="Arial" w:hAnsi="Arial"/>
          <w:lang w:eastAsia="it-IT"/>
        </w:rPr>
        <w:t>essere in possesso di un certificato SSL al fine di poter pubblicare il metadata richiesto dall’Istituto Poligrafico e Zecca dello Stato;</w:t>
      </w:r>
    </w:p>
    <w:p>
      <w:pPr>
        <w:pStyle w:val="ListParagraph"/>
        <w:numPr>
          <w:ilvl w:val="0"/>
          <w:numId w:val="3"/>
        </w:numPr>
        <w:jc w:val="both"/>
        <w:rPr>
          <w:rFonts w:ascii="Arial" w:hAnsi="Arial" w:cs="Arial"/>
          <w:lang w:eastAsia="it-IT"/>
        </w:rPr>
      </w:pPr>
      <w:r>
        <w:rPr>
          <w:rFonts w:cs="Arial" w:ascii="Arial" w:hAnsi="Arial"/>
          <w:lang w:eastAsia="it-IT"/>
        </w:rPr>
        <w:t>assicurare l’aggiornamento della procedura all’ultima versione disponibile, qualora la gestione degli aggiornamenti sia in carico al cliente.</w:t>
      </w:r>
    </w:p>
    <w:p>
      <w:pPr>
        <w:pStyle w:val="Normal"/>
        <w:spacing w:lineRule="auto" w:line="240" w:before="0" w:after="0"/>
        <w:rPr>
          <w:rFonts w:ascii="Arial" w:hAnsi="Arial" w:cs="Arial"/>
          <w:lang w:eastAsia="it-IT"/>
        </w:rPr>
      </w:pPr>
      <w:r>
        <w:rPr>
          <w:rFonts w:cs="Arial" w:ascii="Arial" w:hAnsi="Arial"/>
          <w:lang w:eastAsia="it-IT"/>
        </w:rPr>
      </w:r>
      <w:r>
        <w:br w:type="page"/>
      </w:r>
    </w:p>
    <w:p>
      <w:pPr>
        <w:pStyle w:val="Titolo1"/>
        <w:jc w:val="center"/>
        <w:rPr>
          <w:rFonts w:ascii="Calibri" w:hAnsi="Calibri" w:cs="Calibri" w:asciiTheme="minorHAnsi" w:cstheme="minorHAnsi" w:hAnsiTheme="minorHAnsi"/>
          <w:color w:val="F98F37"/>
          <w:lang w:eastAsia="it-IT"/>
        </w:rPr>
      </w:pPr>
      <w:bookmarkStart w:id="7" w:name="_Toc123217348"/>
      <w:r>
        <w:rPr>
          <w:rFonts w:cs="Calibri" w:ascii="Calibri" w:hAnsi="Calibri" w:asciiTheme="minorHAnsi" w:cstheme="minorHAnsi" w:hAnsiTheme="minorHAnsi"/>
          <w:color w:val="F98F37"/>
          <w:lang w:eastAsia="it-IT"/>
        </w:rPr>
        <w:t>OFFERTA ECONOMICA</w:t>
      </w:r>
      <w:bookmarkEnd w:id="7"/>
    </w:p>
    <w:p>
      <w:pPr>
        <w:pStyle w:val="Normal"/>
        <w:rPr>
          <w:rFonts w:ascii="Arial" w:hAnsi="Arial" w:cs="Arial"/>
          <w:b/>
          <w:b/>
          <w:bCs/>
          <w:lang w:eastAsia="it-IT"/>
        </w:rPr>
      </w:pPr>
      <w:r>
        <w:rPr>
          <w:rFonts w:cs="Arial" w:ascii="Arial" w:hAnsi="Arial"/>
          <w:b/>
          <w:bCs/>
          <w:lang w:eastAsia="it-IT"/>
        </w:rPr>
        <w:t>Prezzi di fornitura:</w:t>
      </w:r>
    </w:p>
    <w:tbl>
      <w:tblPr>
        <w:tblStyle w:val="Grigliatabella"/>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6"/>
        <w:gridCol w:w="7420"/>
        <w:gridCol w:w="1929"/>
      </w:tblGrid>
      <w:tr>
        <w:trPr>
          <w:trHeight w:val="567" w:hRule="atLeast"/>
        </w:trPr>
        <w:tc>
          <w:tcPr>
            <w:tcW w:w="846" w:type="dxa"/>
            <w:tcBorders/>
            <w:shd w:color="auto" w:fill="FBE4D5" w:themeFill="accent2" w:themeFillTint="33" w:val="clear"/>
            <w:vAlign w:val="center"/>
          </w:tcPr>
          <w:p>
            <w:pPr>
              <w:pStyle w:val="Normal"/>
              <w:widowControl/>
              <w:suppressAutoHyphens w:val="true"/>
              <w:spacing w:lineRule="auto" w:line="240" w:before="0" w:after="0"/>
              <w:jc w:val="center"/>
              <w:rPr>
                <w:rFonts w:ascii="Arial" w:hAnsi="Arial" w:cs="Arial"/>
                <w:b/>
                <w:b/>
                <w:bCs/>
                <w:color w:val="F98F37"/>
                <w:lang w:eastAsia="it-IT"/>
              </w:rPr>
            </w:pPr>
            <w:r>
              <w:rPr>
                <w:rFonts w:eastAsia="Calibri" w:cs="Arial" w:ascii="Arial" w:hAnsi="Arial"/>
                <w:b/>
                <w:bCs/>
                <w:color w:val="F98F37"/>
                <w:kern w:val="0"/>
                <w:sz w:val="22"/>
                <w:szCs w:val="22"/>
                <w:lang w:val="it-IT" w:eastAsia="it-IT" w:bidi="ar-SA"/>
              </w:rPr>
              <w:t>Cod.</w:t>
            </w:r>
          </w:p>
        </w:tc>
        <w:tc>
          <w:tcPr>
            <w:tcW w:w="7420" w:type="dxa"/>
            <w:tcBorders/>
            <w:shd w:color="auto" w:fill="FBE4D5" w:themeFill="accent2" w:themeFillTint="33" w:val="clear"/>
            <w:vAlign w:val="center"/>
          </w:tcPr>
          <w:p>
            <w:pPr>
              <w:pStyle w:val="Normal"/>
              <w:widowControl/>
              <w:suppressAutoHyphens w:val="true"/>
              <w:spacing w:lineRule="auto" w:line="240" w:before="0" w:after="0"/>
              <w:jc w:val="center"/>
              <w:rPr>
                <w:rFonts w:ascii="Arial" w:hAnsi="Arial" w:cs="Arial"/>
                <w:b/>
                <w:b/>
                <w:bCs/>
                <w:color w:val="F98F37"/>
                <w:lang w:eastAsia="it-IT"/>
              </w:rPr>
            </w:pPr>
            <w:r>
              <w:rPr>
                <w:rFonts w:eastAsia="Calibri" w:cs="Arial" w:ascii="Arial" w:hAnsi="Arial"/>
                <w:b/>
                <w:bCs/>
                <w:color w:val="F98F37"/>
                <w:kern w:val="0"/>
                <w:sz w:val="22"/>
                <w:szCs w:val="22"/>
                <w:lang w:val="it-IT" w:eastAsia="it-IT" w:bidi="ar-SA"/>
              </w:rPr>
              <w:t>Descrizione Servizio</w:t>
            </w:r>
          </w:p>
        </w:tc>
        <w:tc>
          <w:tcPr>
            <w:tcW w:w="1929" w:type="dxa"/>
            <w:tcBorders/>
            <w:shd w:color="auto" w:fill="FBE4D5" w:themeFill="accent2" w:themeFillTint="33" w:val="clear"/>
            <w:vAlign w:val="center"/>
          </w:tcPr>
          <w:p>
            <w:pPr>
              <w:pStyle w:val="Normal"/>
              <w:widowControl/>
              <w:suppressAutoHyphens w:val="true"/>
              <w:spacing w:lineRule="auto" w:line="240" w:before="0" w:after="0"/>
              <w:jc w:val="center"/>
              <w:rPr>
                <w:rFonts w:ascii="Arial" w:hAnsi="Arial" w:cs="Arial"/>
                <w:b/>
                <w:b/>
                <w:bCs/>
                <w:color w:val="F98F37"/>
                <w:lang w:eastAsia="it-IT"/>
              </w:rPr>
            </w:pPr>
            <w:r>
              <w:rPr>
                <w:rFonts w:eastAsia="Calibri" w:cs="Arial" w:ascii="Arial" w:hAnsi="Arial"/>
                <w:b/>
                <w:bCs/>
                <w:color w:val="F98F37"/>
                <w:kern w:val="0"/>
                <w:sz w:val="22"/>
                <w:szCs w:val="22"/>
                <w:lang w:val="it-IT" w:eastAsia="it-IT" w:bidi="ar-SA"/>
              </w:rPr>
              <w:t>Totale</w:t>
            </w:r>
          </w:p>
        </w:tc>
      </w:tr>
      <w:tr>
        <w:trPr>
          <w:trHeight w:val="567" w:hRule="atLeast"/>
        </w:trPr>
        <w:tc>
          <w:tcPr>
            <w:tcW w:w="846" w:type="dxa"/>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t>4419</w:t>
            </w:r>
          </w:p>
        </w:tc>
        <w:tc>
          <w:tcPr>
            <w:tcW w:w="7420" w:type="dxa"/>
            <w:tcBorders/>
            <w:vAlign w:val="center"/>
          </w:tcPr>
          <w:p>
            <w:pPr>
              <w:pStyle w:val="Normal"/>
              <w:widowControl/>
              <w:suppressAutoHyphens w:val="true"/>
              <w:spacing w:lineRule="auto" w:line="240" w:before="0" w:after="0"/>
              <w:jc w:val="left"/>
              <w:rPr>
                <w:rFonts w:ascii="Arial" w:hAnsi="Arial" w:cs="Arial"/>
                <w:lang w:eastAsia="it-IT"/>
              </w:rPr>
            </w:pPr>
            <w:r>
              <w:rPr>
                <w:rFonts w:eastAsia="Calibri" w:cs="Arial" w:ascii="Arial" w:hAnsi="Arial"/>
                <w:kern w:val="0"/>
                <w:sz w:val="22"/>
                <w:szCs w:val="22"/>
                <w:lang w:val="it-IT" w:eastAsia="it-IT" w:bidi="ar-SA"/>
              </w:rPr>
              <w:t>Servizio di attivazione del sistema “Entra con CIE”</w:t>
            </w:r>
          </w:p>
        </w:tc>
        <w:tc>
          <w:tcPr>
            <w:tcW w:w="1929" w:type="dxa"/>
            <w:tcBorders/>
            <w:vAlign w:val="center"/>
          </w:tcPr>
          <w:p>
            <w:pPr>
              <w:pStyle w:val="Normal"/>
              <w:widowControl/>
              <w:suppressAutoHyphens w:val="true"/>
              <w:spacing w:lineRule="auto" w:line="240" w:before="0" w:after="0"/>
              <w:jc w:val="center"/>
              <w:rPr>
                <w:rFonts w:ascii="Arial" w:hAnsi="Arial" w:eastAsia="Calibri" w:cs="Arial"/>
                <w:lang w:eastAsia="it-IT"/>
              </w:rPr>
            </w:pPr>
            <w:r>
              <w:rPr>
                <w:rFonts w:cs="Arial" w:ascii="Arial" w:hAnsi="Arial"/>
                <w:kern w:val="0"/>
                <w:sz w:val="22"/>
                <w:szCs w:val="22"/>
                <w:lang w:val="it-IT" w:eastAsia="it-IT" w:bidi="ar-SA"/>
              </w:rPr>
              <w:t xml:space="preserve">€ </w:t>
            </w:r>
            <w:r>
              <w:rPr>
                <w:rFonts w:cs="Arial" w:ascii="Arial" w:hAnsi="Arial"/>
                <w:kern w:val="0"/>
                <w:sz w:val="22"/>
                <w:szCs w:val="22"/>
                <w:lang w:val="it-IT" w:eastAsia="it-IT" w:bidi="ar-SA"/>
              </w:rPr>
              <w:t>600,00</w:t>
            </w:r>
          </w:p>
        </w:tc>
      </w:tr>
      <w:tr>
        <w:trPr>
          <w:trHeight w:val="567" w:hRule="atLeast"/>
        </w:trPr>
        <w:tc>
          <w:tcPr>
            <w:tcW w:w="846" w:type="dxa"/>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r>
          </w:p>
        </w:tc>
        <w:tc>
          <w:tcPr>
            <w:tcW w:w="7420" w:type="dxa"/>
            <w:tcBorders/>
            <w:vAlign w:val="center"/>
          </w:tcPr>
          <w:p>
            <w:pPr>
              <w:pStyle w:val="Normal"/>
              <w:widowControl/>
              <w:suppressAutoHyphens w:val="true"/>
              <w:spacing w:lineRule="auto" w:line="240" w:before="0" w:after="0"/>
              <w:jc w:val="left"/>
              <w:rPr>
                <w:rFonts w:ascii="Arial" w:hAnsi="Arial" w:cs="Arial"/>
                <w:lang w:eastAsia="it-IT"/>
              </w:rPr>
            </w:pPr>
            <w:r>
              <w:rPr>
                <w:rFonts w:eastAsia="Calibri" w:cs="Arial" w:ascii="Arial" w:hAnsi="Arial"/>
                <w:kern w:val="0"/>
                <w:sz w:val="22"/>
                <w:szCs w:val="22"/>
                <w:lang w:val="it-IT" w:eastAsia="it-IT" w:bidi="ar-SA"/>
              </w:rPr>
              <w:t>Formazione</w:t>
            </w:r>
          </w:p>
        </w:tc>
        <w:tc>
          <w:tcPr>
            <w:tcW w:w="1929" w:type="dxa"/>
            <w:tcBorders/>
            <w:vAlign w:val="center"/>
          </w:tcPr>
          <w:p>
            <w:pPr>
              <w:pStyle w:val="Normal"/>
              <w:widowControl/>
              <w:suppressAutoHyphens w:val="true"/>
              <w:spacing w:lineRule="auto" w:line="240" w:before="0" w:after="0"/>
              <w:jc w:val="center"/>
              <w:rPr>
                <w:rFonts w:ascii="Arial" w:hAnsi="Arial" w:eastAsia="Calibri" w:cs="Arial"/>
                <w:lang w:eastAsia="it-IT"/>
              </w:rPr>
            </w:pPr>
            <w:r>
              <w:rPr>
                <w:rFonts w:cs="Arial" w:ascii="Arial" w:hAnsi="Arial"/>
                <w:kern w:val="0"/>
                <w:sz w:val="22"/>
                <w:szCs w:val="22"/>
                <w:lang w:val="it-IT" w:eastAsia="it-IT" w:bidi="ar-SA"/>
              </w:rPr>
              <w:t xml:space="preserve">€ </w:t>
            </w:r>
            <w:r>
              <w:rPr>
                <w:rFonts w:cs="Arial" w:ascii="Arial" w:hAnsi="Arial"/>
                <w:kern w:val="0"/>
                <w:sz w:val="22"/>
                <w:szCs w:val="22"/>
                <w:lang w:val="it-IT" w:eastAsia="it-IT" w:bidi="ar-SA"/>
              </w:rPr>
              <w:t>1750,00</w:t>
            </w:r>
          </w:p>
        </w:tc>
      </w:tr>
      <w:tr>
        <w:trPr>
          <w:trHeight w:val="567" w:hRule="atLeast"/>
        </w:trPr>
        <w:tc>
          <w:tcPr>
            <w:tcW w:w="846" w:type="dxa"/>
            <w:tcBorders>
              <w:left w:val="nil"/>
              <w:bottom w:val="nil"/>
              <w:right w:val="nil"/>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r>
          </w:p>
        </w:tc>
        <w:tc>
          <w:tcPr>
            <w:tcW w:w="7420" w:type="dxa"/>
            <w:tcBorders>
              <w:left w:val="nil"/>
              <w:bottom w:val="nil"/>
            </w:tcBorders>
            <w:vAlign w:val="center"/>
          </w:tcPr>
          <w:p>
            <w:pPr>
              <w:pStyle w:val="Normal"/>
              <w:widowControl/>
              <w:suppressAutoHyphens w:val="true"/>
              <w:spacing w:lineRule="auto" w:line="240" w:before="0" w:after="0"/>
              <w:jc w:val="right"/>
              <w:rPr>
                <w:rFonts w:ascii="Arial" w:hAnsi="Arial" w:cs="Arial"/>
                <w:lang w:eastAsia="it-IT"/>
              </w:rPr>
            </w:pPr>
            <w:r>
              <w:rPr>
                <w:rFonts w:eastAsia="Calibri" w:cs="Arial" w:ascii="Arial" w:hAnsi="Arial"/>
                <w:kern w:val="0"/>
                <w:sz w:val="22"/>
                <w:szCs w:val="22"/>
                <w:lang w:val="it-IT" w:eastAsia="it-IT" w:bidi="ar-SA"/>
              </w:rPr>
              <w:t>Totale (IVA esclusa)</w:t>
            </w:r>
          </w:p>
        </w:tc>
        <w:tc>
          <w:tcPr>
            <w:tcW w:w="1929" w:type="dxa"/>
            <w:tcBorders/>
            <w:vAlign w:val="center"/>
          </w:tcPr>
          <w:p>
            <w:pPr>
              <w:pStyle w:val="Normal"/>
              <w:widowControl/>
              <w:suppressAutoHyphens w:val="true"/>
              <w:spacing w:lineRule="auto" w:line="240" w:before="0" w:after="0"/>
              <w:jc w:val="center"/>
              <w:rPr>
                <w:rFonts w:ascii="Arial" w:hAnsi="Arial" w:eastAsia="Calibri" w:cs="Arial"/>
                <w:lang w:eastAsia="it-IT"/>
              </w:rPr>
            </w:pPr>
            <w:r>
              <w:rPr>
                <w:rFonts w:cs="Arial" w:ascii="Arial" w:hAnsi="Arial"/>
                <w:kern w:val="0"/>
                <w:sz w:val="22"/>
                <w:szCs w:val="22"/>
                <w:lang w:val="it-IT" w:eastAsia="it-IT" w:bidi="ar-SA"/>
              </w:rPr>
              <w:t xml:space="preserve">€ </w:t>
            </w:r>
            <w:r>
              <w:rPr>
                <w:rFonts w:cs="Arial" w:ascii="Arial" w:hAnsi="Arial"/>
                <w:kern w:val="0"/>
                <w:sz w:val="22"/>
                <w:szCs w:val="22"/>
                <w:lang w:val="it-IT" w:eastAsia="it-IT" w:bidi="ar-SA"/>
              </w:rPr>
              <w:t>2350,00</w:t>
            </w:r>
          </w:p>
        </w:tc>
      </w:tr>
      <w:tr>
        <w:trPr>
          <w:trHeight w:val="567" w:hRule="atLeast"/>
        </w:trPr>
        <w:tc>
          <w:tcPr>
            <w:tcW w:w="846" w:type="dxa"/>
            <w:tcBorders>
              <w:top w:val="nil"/>
              <w:left w:val="nil"/>
              <w:bottom w:val="nil"/>
              <w:right w:val="nil"/>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r>
          </w:p>
        </w:tc>
        <w:tc>
          <w:tcPr>
            <w:tcW w:w="7420" w:type="dxa"/>
            <w:tcBorders>
              <w:top w:val="nil"/>
              <w:left w:val="nil"/>
              <w:bottom w:val="nil"/>
            </w:tcBorders>
            <w:vAlign w:val="center"/>
          </w:tcPr>
          <w:p>
            <w:pPr>
              <w:pStyle w:val="Normal"/>
              <w:widowControl/>
              <w:suppressAutoHyphens w:val="true"/>
              <w:spacing w:lineRule="auto" w:line="240" w:before="0" w:after="0"/>
              <w:jc w:val="right"/>
              <w:rPr>
                <w:rFonts w:ascii="Arial" w:hAnsi="Arial" w:cs="Arial"/>
                <w:lang w:eastAsia="it-IT"/>
              </w:rPr>
            </w:pPr>
            <w:r>
              <w:rPr>
                <w:rFonts w:eastAsia="Calibri" w:cs="Arial" w:ascii="Arial" w:hAnsi="Arial"/>
                <w:kern w:val="0"/>
                <w:sz w:val="22"/>
                <w:szCs w:val="22"/>
                <w:lang w:val="it-IT" w:eastAsia="it-IT" w:bidi="ar-SA"/>
              </w:rPr>
              <w:t>IVA al 22%</w:t>
            </w:r>
          </w:p>
        </w:tc>
        <w:tc>
          <w:tcPr>
            <w:tcW w:w="1929" w:type="dxa"/>
            <w:tcBorders/>
            <w:vAlign w:val="center"/>
          </w:tcPr>
          <w:p>
            <w:pPr>
              <w:pStyle w:val="Normal"/>
              <w:widowControl/>
              <w:suppressAutoHyphens w:val="true"/>
              <w:spacing w:lineRule="auto" w:line="240" w:before="0" w:after="0"/>
              <w:jc w:val="center"/>
              <w:rPr>
                <w:rFonts w:ascii="Arial" w:hAnsi="Arial" w:eastAsia="Calibri" w:cs="Arial"/>
                <w:lang w:eastAsia="it-IT"/>
              </w:rPr>
            </w:pPr>
            <w:r>
              <w:rPr>
                <w:rFonts w:cs="Arial" w:ascii="Arial" w:hAnsi="Arial"/>
                <w:kern w:val="0"/>
                <w:sz w:val="22"/>
                <w:szCs w:val="22"/>
                <w:lang w:val="it-IT" w:eastAsia="it-IT" w:bidi="ar-SA"/>
              </w:rPr>
              <w:t xml:space="preserve">€ </w:t>
            </w:r>
            <w:r>
              <w:rPr>
                <w:rFonts w:cs="Arial" w:ascii="Arial" w:hAnsi="Arial"/>
                <w:kern w:val="0"/>
                <w:sz w:val="22"/>
                <w:szCs w:val="22"/>
                <w:lang w:val="it-IT" w:eastAsia="it-IT" w:bidi="ar-SA"/>
              </w:rPr>
              <w:t>517,00</w:t>
            </w:r>
          </w:p>
        </w:tc>
      </w:tr>
      <w:tr>
        <w:trPr>
          <w:trHeight w:val="567" w:hRule="atLeast"/>
        </w:trPr>
        <w:tc>
          <w:tcPr>
            <w:tcW w:w="846" w:type="dxa"/>
            <w:tcBorders>
              <w:top w:val="nil"/>
              <w:left w:val="nil"/>
              <w:bottom w:val="nil"/>
              <w:right w:val="nil"/>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r>
          </w:p>
        </w:tc>
        <w:tc>
          <w:tcPr>
            <w:tcW w:w="7420" w:type="dxa"/>
            <w:tcBorders>
              <w:top w:val="nil"/>
              <w:left w:val="nil"/>
              <w:bottom w:val="nil"/>
            </w:tcBorders>
            <w:vAlign w:val="center"/>
          </w:tcPr>
          <w:p>
            <w:pPr>
              <w:pStyle w:val="Normal"/>
              <w:widowControl/>
              <w:suppressAutoHyphens w:val="true"/>
              <w:spacing w:lineRule="auto" w:line="240" w:before="0" w:after="0"/>
              <w:jc w:val="right"/>
              <w:rPr>
                <w:rFonts w:ascii="Arial" w:hAnsi="Arial" w:cs="Arial"/>
                <w:lang w:eastAsia="it-IT"/>
              </w:rPr>
            </w:pPr>
            <w:r>
              <w:rPr>
                <w:rFonts w:eastAsia="Calibri" w:cs="Arial" w:ascii="Arial" w:hAnsi="Arial"/>
                <w:kern w:val="0"/>
                <w:sz w:val="22"/>
                <w:szCs w:val="22"/>
                <w:lang w:val="it-IT" w:eastAsia="it-IT" w:bidi="ar-SA"/>
              </w:rPr>
              <w:t>Totale (IVA inclusa)</w:t>
            </w:r>
          </w:p>
        </w:tc>
        <w:tc>
          <w:tcPr>
            <w:tcW w:w="1929" w:type="dxa"/>
            <w:tcBorders/>
            <w:vAlign w:val="center"/>
          </w:tcPr>
          <w:p>
            <w:pPr>
              <w:pStyle w:val="Normal"/>
              <w:widowControl/>
              <w:suppressAutoHyphens w:val="true"/>
              <w:spacing w:lineRule="auto" w:line="240" w:before="0" w:after="0"/>
              <w:jc w:val="center"/>
              <w:rPr>
                <w:rFonts w:ascii="Arial" w:hAnsi="Arial" w:eastAsia="Calibri" w:cs="Arial"/>
                <w:lang w:eastAsia="it-IT"/>
              </w:rPr>
            </w:pPr>
            <w:r>
              <w:rPr>
                <w:rFonts w:cs="Arial" w:ascii="Arial" w:hAnsi="Arial"/>
                <w:kern w:val="0"/>
                <w:sz w:val="22"/>
                <w:szCs w:val="22"/>
                <w:lang w:val="it-IT" w:eastAsia="it-IT" w:bidi="ar-SA"/>
              </w:rPr>
              <w:t xml:space="preserve">€ </w:t>
            </w:r>
            <w:r>
              <w:rPr>
                <w:rFonts w:cs="Arial" w:ascii="Arial" w:hAnsi="Arial"/>
                <w:kern w:val="0"/>
                <w:sz w:val="22"/>
                <w:szCs w:val="22"/>
                <w:lang w:val="it-IT" w:eastAsia="it-IT" w:bidi="ar-SA"/>
              </w:rPr>
              <w:t>2867,00</w:t>
            </w:r>
          </w:p>
        </w:tc>
      </w:tr>
    </w:tbl>
    <w:p>
      <w:pPr>
        <w:pStyle w:val="Normal"/>
        <w:rPr>
          <w:rFonts w:ascii="Arial" w:hAnsi="Arial" w:cs="Arial"/>
          <w:lang w:eastAsia="it-IT"/>
        </w:rPr>
      </w:pPr>
      <w:r>
        <w:rPr>
          <w:rFonts w:cs="Arial" w:ascii="Arial" w:hAnsi="Arial"/>
          <w:lang w:eastAsia="it-IT"/>
        </w:rPr>
      </w:r>
    </w:p>
    <w:p>
      <w:pPr>
        <w:pStyle w:val="Normal"/>
        <w:rPr>
          <w:rFonts w:ascii="Arial" w:hAnsi="Arial" w:cs="Arial"/>
          <w:lang w:eastAsia="it-IT"/>
        </w:rPr>
      </w:pPr>
      <w:r>
        <w:rPr>
          <w:rFonts w:cs="Arial" w:ascii="Arial" w:hAnsi="Arial"/>
          <w:lang w:eastAsia="it-IT"/>
        </w:rPr>
        <w:t>Si ricorda che per poter procedere con l’attivazione della CIE è necessario che il comune abbia un certificato SSL.</w:t>
      </w:r>
    </w:p>
    <w:p>
      <w:pPr>
        <w:pStyle w:val="Normal"/>
        <w:rPr>
          <w:rFonts w:ascii="Arial" w:hAnsi="Arial" w:cs="Arial"/>
          <w:lang w:eastAsia="it-IT"/>
        </w:rPr>
      </w:pPr>
      <w:r>
        <w:rPr>
          <w:rFonts w:cs="Arial" w:ascii="Arial" w:hAnsi="Arial"/>
          <w:lang w:eastAsia="it-IT"/>
        </w:rPr>
      </w:r>
    </w:p>
    <w:p>
      <w:pPr>
        <w:pStyle w:val="Titolo2"/>
        <w:spacing w:lineRule="auto" w:line="360"/>
        <w:rPr>
          <w:rFonts w:ascii="Calibri" w:hAnsi="Calibri" w:cs="Calibri" w:asciiTheme="minorHAnsi" w:cstheme="minorHAnsi" w:hAnsiTheme="minorHAnsi"/>
          <w:color w:val="F98F37"/>
          <w:lang w:eastAsia="it-IT"/>
        </w:rPr>
      </w:pPr>
      <w:bookmarkStart w:id="8" w:name="_Toc123217349"/>
      <w:r>
        <w:rPr>
          <w:rFonts w:cs="Calibri" w:ascii="Calibri" w:hAnsi="Calibri" w:asciiTheme="minorHAnsi" w:cstheme="minorHAnsi" w:hAnsiTheme="minorHAnsi"/>
          <w:color w:val="F98F37"/>
          <w:lang w:eastAsia="it-IT"/>
        </w:rPr>
        <w:t>Durata del servizio</w:t>
      </w:r>
      <w:bookmarkEnd w:id="8"/>
    </w:p>
    <w:p>
      <w:pPr>
        <w:pStyle w:val="Normal"/>
        <w:jc w:val="both"/>
        <w:rPr>
          <w:rFonts w:ascii="Arial" w:hAnsi="Arial" w:cs="Arial"/>
          <w:lang w:eastAsia="it-IT"/>
        </w:rPr>
      </w:pPr>
      <w:r>
        <w:rPr>
          <w:rFonts w:cs="Arial" w:ascii="Arial" w:hAnsi="Arial"/>
          <w:lang w:eastAsia="it-IT"/>
        </w:rPr>
        <w:t>Il servizio avrà durata fino a quando non verranno terminate le attività oggetto della presente offerta.</w:t>
      </w:r>
    </w:p>
    <w:p>
      <w:pPr>
        <w:pStyle w:val="Normal"/>
        <w:rPr>
          <w:rFonts w:ascii="Arial" w:hAnsi="Arial" w:cs="Arial"/>
          <w:sz w:val="18"/>
          <w:szCs w:val="18"/>
          <w:lang w:eastAsia="it-IT"/>
        </w:rPr>
      </w:pPr>
      <w:r>
        <w:rPr>
          <w:rFonts w:cs="Arial" w:ascii="Arial" w:hAnsi="Arial"/>
          <w:sz w:val="18"/>
          <w:szCs w:val="18"/>
          <w:lang w:eastAsia="it-IT"/>
        </w:rPr>
      </w:r>
      <w:r>
        <w:br w:type="page"/>
      </w:r>
    </w:p>
    <w:p>
      <w:pPr>
        <w:pStyle w:val="Titolo1"/>
        <w:jc w:val="center"/>
        <w:rPr>
          <w:rFonts w:ascii="Calibri" w:hAnsi="Calibri" w:cs="Calibri" w:asciiTheme="minorHAnsi" w:cstheme="minorHAnsi" w:hAnsiTheme="minorHAnsi"/>
          <w:color w:val="F98F37"/>
          <w:lang w:eastAsia="it-IT"/>
        </w:rPr>
      </w:pPr>
      <w:bookmarkStart w:id="9" w:name="_Toc123217350"/>
      <w:r>
        <w:rPr>
          <w:rFonts w:cs="Calibri" w:ascii="Calibri" w:hAnsi="Calibri" w:asciiTheme="minorHAnsi" w:cstheme="minorHAnsi" w:hAnsiTheme="minorHAnsi"/>
          <w:color w:val="F98F37"/>
          <w:lang w:eastAsia="it-IT"/>
        </w:rPr>
        <w:t>CONDIZIONI DI FORNITURA</w:t>
      </w:r>
      <w:bookmarkEnd w:id="9"/>
    </w:p>
    <w:p>
      <w:pPr>
        <w:pStyle w:val="Normal"/>
        <w:rPr>
          <w:lang w:eastAsia="it-IT"/>
        </w:rPr>
      </w:pPr>
      <w:r>
        <w:rPr>
          <w:lang w:eastAsia="it-IT"/>
        </w:rPr>
      </w:r>
    </w:p>
    <w:p>
      <w:pPr>
        <w:pStyle w:val="Normal"/>
        <w:shd w:val="clear" w:color="auto" w:fill="D9D9D9" w:themeFill="background1" w:themeFillShade="d9"/>
        <w:jc w:val="center"/>
        <w:rPr>
          <w:rFonts w:ascii="Arial" w:hAnsi="Arial" w:cs="Arial"/>
          <w:b/>
          <w:b/>
          <w:bCs/>
          <w:sz w:val="24"/>
          <w:szCs w:val="24"/>
        </w:rPr>
      </w:pPr>
      <w:bookmarkStart w:id="10" w:name="_Toc66372098"/>
      <w:bookmarkStart w:id="11" w:name="_Toc66897736"/>
      <w:bookmarkStart w:id="12" w:name="_Toc66897877"/>
      <w:bookmarkStart w:id="13" w:name="_Toc69908422"/>
      <w:bookmarkStart w:id="14" w:name="_Toc69974208"/>
      <w:r>
        <w:rPr>
          <w:rFonts w:cs="Arial" w:ascii="Arial" w:hAnsi="Arial"/>
          <w:b/>
          <w:bCs/>
          <w:sz w:val="24"/>
          <w:szCs w:val="24"/>
        </w:rPr>
        <w:t>Fornitura del servizio</w:t>
      </w:r>
      <w:bookmarkEnd w:id="10"/>
      <w:bookmarkEnd w:id="11"/>
      <w:bookmarkEnd w:id="12"/>
      <w:bookmarkEnd w:id="13"/>
      <w:bookmarkEnd w:id="14"/>
    </w:p>
    <w:p>
      <w:pPr>
        <w:pStyle w:val="ListParagraph"/>
        <w:numPr>
          <w:ilvl w:val="0"/>
          <w:numId w:val="6"/>
        </w:numPr>
        <w:suppressAutoHyphens w:val="false"/>
        <w:spacing w:lineRule="auto" w:line="276" w:before="240" w:after="0"/>
        <w:ind w:left="0" w:hanging="0"/>
        <w:contextualSpacing/>
        <w:jc w:val="center"/>
        <w:rPr>
          <w:rFonts w:ascii="Arial" w:hAnsi="Arial" w:cs="Arial"/>
          <w:b/>
          <w:b/>
          <w:bCs/>
          <w:spacing w:val="-3"/>
          <w:sz w:val="18"/>
          <w:szCs w:val="18"/>
        </w:rPr>
      </w:pPr>
      <w:r>
        <w:rPr>
          <w:rFonts w:cs="Arial" w:ascii="Arial" w:hAnsi="Arial"/>
          <w:b/>
          <w:bCs/>
          <w:spacing w:val="-3"/>
          <w:sz w:val="18"/>
          <w:szCs w:val="18"/>
        </w:rPr>
      </w:r>
    </w:p>
    <w:p>
      <w:pPr>
        <w:pStyle w:val="ListParagraph"/>
        <w:spacing w:before="0" w:after="0"/>
        <w:ind w:left="0" w:hanging="0"/>
        <w:contextualSpacing/>
        <w:jc w:val="center"/>
        <w:rPr>
          <w:rFonts w:ascii="Arial" w:hAnsi="Arial" w:cs="Arial"/>
          <w:b/>
          <w:b/>
          <w:bCs/>
          <w:spacing w:val="-3"/>
          <w:sz w:val="18"/>
          <w:szCs w:val="18"/>
        </w:rPr>
      </w:pPr>
      <w:r>
        <w:rPr>
          <w:rFonts w:cs="Arial" w:ascii="Arial" w:hAnsi="Arial"/>
          <w:b/>
          <w:bCs/>
          <w:spacing w:val="-3"/>
          <w:sz w:val="18"/>
          <w:szCs w:val="18"/>
        </w:rPr>
        <w:t>OBBLIGHI E ADEMPIMENTI</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Halley SUD si impegna ad eseguire le prestazioni oggetto della presente offerta a perfetta regola d’arte e nel rispetto di tutte le norme e prescrizioni legislative, anche tecniche e di sicurezza, in vigore.</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Ciascuna parte si impegna ad individuare persone idonee per lo svolgimento delle attività contrattuali, in particolar modo per quanto concerne le figure dei Responsabili.</w:t>
      </w:r>
    </w:p>
    <w:p>
      <w:pPr>
        <w:pStyle w:val="ListParagraph"/>
        <w:numPr>
          <w:ilvl w:val="0"/>
          <w:numId w:val="6"/>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false"/>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OBBLIGHI DI RISERVATEZZA</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Le parti si impegnano a trattare con il massimo riserbo e a mantenere riservati anche successivamente al termine del servizio oggetto della presente offerta, i dati e le informazioni, ivi comprese quelle che transitano per le apparecchiature di elaborazione e di trasmissione dati, di cui vengano in possesso o comunque a conoscenza durante lo svolgimento del servizio e a non divulgarli in alcun modo e in qualsiasi forma per scopi diversi da quelli strettamente necessari all’esecuzione delle attività oggetto della presente offerta. Tale obbligo concerne altresì le idee, le metodologie e le esperienze tecniche che Halley SUD sviluppa o realizza in esecuzione delle prestazioni contrattuali.</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jc w:val="both"/>
        <w:rPr>
          <w:rFonts w:ascii="Arial" w:hAnsi="Arial" w:cs="Arial"/>
          <w:spacing w:val="-3"/>
          <w:sz w:val="18"/>
          <w:szCs w:val="18"/>
        </w:rPr>
      </w:pPr>
      <w:r>
        <w:rPr>
          <w:rFonts w:cs="Arial" w:ascii="Arial" w:hAnsi="Arial"/>
          <w:spacing w:val="-3"/>
          <w:sz w:val="18"/>
          <w:szCs w:val="18"/>
        </w:rPr>
        <w:t>Le parti sono responsabili per l’esatta osservanza da parte dei propri dipendenti, consulenti e collaboratori, nonché dei propri eventuali subappaltatori, degli obblighi di segretezza anzidetti.</w:t>
      </w:r>
    </w:p>
    <w:p>
      <w:pPr>
        <w:pStyle w:val="ListParagraph"/>
        <w:numPr>
          <w:ilvl w:val="0"/>
          <w:numId w:val="6"/>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false"/>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FORZA MAGGIORE</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 xml:space="preserve">Le parti non potranno essere considerate responsabili per ritardi o mancata esecuzione del servizio oggetto della presente offerta, qualora ciò sia dipeso esclusivamente da eventi al di fuori della sfera di controllo della parte e la parte non adempiente abbia agito con il massimo impegno per prevenire i suddetti eventi e/o risolverne le conseguenze. </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La parte che abbia avuto notizia di un evento che possa considerarsi di forza maggiore ne darà immediata comunicazione all’altra e le parti concorderanno insieme gli eventuali rimedi per garantire la corretta esecuzione dei servizi oggetto della presente offerta.</w:t>
      </w:r>
    </w:p>
    <w:p>
      <w:pPr>
        <w:pStyle w:val="ListParagraph"/>
        <w:numPr>
          <w:ilvl w:val="0"/>
          <w:numId w:val="6"/>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false"/>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CONSERVAZIONE E TUTELA</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Eventuali copie di dati (informatici o cartacei), saranno mantenute nei nostri laboratori in un’area riservata alla quale hanno accesso solamente i tecnici che svolgono le attività sopra menzionate.</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Eventuali documenti cartacei originali, verranno restituiti all’Ente al termine del servizio.</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r>
    </w:p>
    <w:p>
      <w:pPr>
        <w:pStyle w:val="ListParagraph"/>
        <w:numPr>
          <w:ilvl w:val="0"/>
          <w:numId w:val="6"/>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false"/>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SEGNALAZIONI e CONTESTAZIONI</w:t>
      </w:r>
    </w:p>
    <w:p>
      <w:pPr>
        <w:pStyle w:val="Normal"/>
        <w:jc w:val="both"/>
        <w:rPr>
          <w:rFonts w:ascii="Arial" w:hAnsi="Arial" w:cs="Arial"/>
          <w:sz w:val="18"/>
          <w:szCs w:val="18"/>
        </w:rPr>
      </w:pPr>
      <w:r>
        <w:rPr>
          <w:rFonts w:cs="Arial" w:ascii="Arial" w:hAnsi="Arial"/>
          <w:sz w:val="18"/>
          <w:szCs w:val="18"/>
        </w:rPr>
        <w:t>Il Cliente potrà chiedere di effettuare verifiche sul regolare svolgimento del servizio affidato. Eventuali contestazioni nell’esecuzione del servizio devono avvenire in forma scritta. Trascorsi 60 giorni dalla effettuazione dei lavori senza che il Cliente abbia sollevato delle contestazioni, le attività svolte si intendono regolarmente effettuate.</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z w:val="18"/>
          <w:szCs w:val="18"/>
          <w:lang w:eastAsia="it-IT"/>
        </w:rPr>
      </w:pPr>
      <w:r>
        <w:rPr>
          <w:rFonts w:cs="Arial" w:ascii="Arial" w:hAnsi="Arial"/>
          <w:spacing w:val="-3"/>
          <w:sz w:val="18"/>
          <w:szCs w:val="18"/>
          <w:lang w:eastAsia="it-IT"/>
        </w:rPr>
        <w:t xml:space="preserve">In ogni caso, il cliente ha 360 giorni di tempo dalla data di </w:t>
      </w:r>
      <w:r>
        <w:rPr>
          <w:rFonts w:eastAsia="Calibri" w:cs="Arial" w:ascii="Arial" w:hAnsi="Arial" w:cstheme="minorBidi" w:eastAsiaTheme="minorHAnsi"/>
          <w:color w:val="auto"/>
          <w:spacing w:val="-3"/>
          <w:kern w:val="0"/>
          <w:sz w:val="18"/>
          <w:szCs w:val="18"/>
          <w:lang w:val="it-IT" w:eastAsia="it-IT" w:bidi="ar-SA"/>
        </w:rPr>
        <w:t>attivazione del servizio</w:t>
      </w:r>
      <w:r>
        <w:rPr>
          <w:rFonts w:cs="Arial" w:ascii="Arial" w:hAnsi="Arial"/>
          <w:spacing w:val="-3"/>
          <w:sz w:val="18"/>
          <w:szCs w:val="18"/>
          <w:lang w:eastAsia="it-IT"/>
        </w:rPr>
        <w:t xml:space="preserve"> per attivare la clusola “soddisfatto o rimborsato” che permette al cliente di recedere dal contratto senza necessità di motivazione approvate dalla Halley stessa.  Ai sensi di tale clausola, Halley SUD, </w:t>
      </w:r>
      <w:r>
        <w:rPr>
          <w:rFonts w:cs="Arial" w:ascii="Arial" w:hAnsi="Arial"/>
          <w:spacing w:val="-3"/>
          <w:sz w:val="18"/>
          <w:szCs w:val="18"/>
          <w:lang w:eastAsia="it-IT"/>
        </w:rPr>
        <w:t>a seguito di richiesta ufficiale dell’Ente,</w:t>
      </w:r>
      <w:r>
        <w:rPr>
          <w:rFonts w:cs="Arial" w:ascii="Arial" w:hAnsi="Arial"/>
          <w:spacing w:val="-3"/>
          <w:sz w:val="18"/>
          <w:szCs w:val="18"/>
          <w:lang w:eastAsia="it-IT"/>
        </w:rPr>
        <w:t xml:space="preserve"> si impegna a non fatturare quanto oggetto del presente contratto e di annullare l’ordine. Nel caso in cui il Halley SUD avesse già emesso fattura, </w:t>
      </w:r>
      <w:r>
        <w:rPr>
          <w:rFonts w:cs="Arial" w:ascii="Arial" w:hAnsi="Arial"/>
          <w:spacing w:val="-3"/>
          <w:sz w:val="18"/>
          <w:szCs w:val="18"/>
          <w:lang w:eastAsia="it-IT"/>
        </w:rPr>
        <w:t>in acconto o saldo</w:t>
      </w:r>
      <w:r>
        <w:rPr>
          <w:rFonts w:cs="Arial" w:ascii="Arial" w:hAnsi="Arial"/>
          <w:spacing w:val="-3"/>
          <w:sz w:val="18"/>
          <w:szCs w:val="18"/>
          <w:lang w:eastAsia="it-IT"/>
        </w:rPr>
        <w:t xml:space="preserve">, </w:t>
      </w:r>
      <w:r>
        <w:rPr>
          <w:rFonts w:cs="Arial" w:ascii="Arial" w:hAnsi="Arial"/>
          <w:spacing w:val="-3"/>
          <w:sz w:val="18"/>
          <w:szCs w:val="18"/>
          <w:lang w:eastAsia="it-IT"/>
        </w:rPr>
        <w:t xml:space="preserve">la stessa </w:t>
      </w:r>
      <w:r>
        <w:rPr>
          <w:rFonts w:cs="Arial" w:ascii="Arial" w:hAnsi="Arial"/>
          <w:spacing w:val="-3"/>
          <w:sz w:val="18"/>
          <w:szCs w:val="18"/>
          <w:lang w:eastAsia="it-IT"/>
        </w:rPr>
        <w:t xml:space="preserve">si impegna a emettere nota di credito o a riconoscere all’Ente servizi alternativi per un importo pari al valore della presente offerta. Nel caso in cui il cliente non intenda rinunciare ai servizi relativi al contratto nel periodo futuro, Halley si impegna a fornire offerta per il solo canone annuale e continuare il rapporto con l’Ente. </w:t>
      </w:r>
    </w:p>
    <w:p>
      <w:pPr>
        <w:pStyle w:val="ListParagraph"/>
        <w:numPr>
          <w:ilvl w:val="0"/>
          <w:numId w:val="6"/>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false"/>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TITOLARITA’ DELLA POTESTA’ PUBBLICA</w:t>
      </w:r>
    </w:p>
    <w:p>
      <w:pPr>
        <w:pStyle w:val="Normal"/>
        <w:spacing w:before="0" w:after="0"/>
        <w:jc w:val="both"/>
        <w:rPr>
          <w:rFonts w:ascii="Arial" w:hAnsi="Arial" w:cs="Arial"/>
          <w:sz w:val="18"/>
          <w:szCs w:val="18"/>
          <w:lang w:eastAsia="it-IT"/>
        </w:rPr>
      </w:pPr>
      <w:bookmarkStart w:id="15" w:name="_Hlk101867119"/>
      <w:bookmarkStart w:id="16" w:name="_Hlk104476139"/>
      <w:bookmarkStart w:id="17" w:name="_Hlk104477606"/>
      <w:r>
        <w:rPr>
          <w:rFonts w:cs="Arial" w:ascii="Arial" w:hAnsi="Arial"/>
          <w:sz w:val="18"/>
          <w:szCs w:val="18"/>
          <w:lang w:eastAsia="it-IT"/>
        </w:rPr>
        <w:t>Essendo in presenza di un appalto e non di una concessione, la titolarità della potestà pubblica connessa al servizio resta in capo all’Ente. Il comune designa il funzionario responsabile a cui sono attribuiti tutti i poteri per l'esercizio di ogni attività organizzativa e gestionale, compreso quello di sottoscrivere i provvedimenti afferenti alle attività svolte con il presente servizio</w:t>
      </w:r>
      <w:bookmarkEnd w:id="17"/>
      <w:r>
        <w:rPr>
          <w:rFonts w:cs="Arial" w:ascii="Arial" w:hAnsi="Arial"/>
          <w:sz w:val="18"/>
          <w:szCs w:val="18"/>
          <w:lang w:eastAsia="it-IT"/>
        </w:rPr>
        <w:t>.</w:t>
      </w:r>
      <w:bookmarkEnd w:id="15"/>
      <w:bookmarkEnd w:id="16"/>
    </w:p>
    <w:p>
      <w:pPr>
        <w:pStyle w:val="Normal"/>
        <w:spacing w:before="0" w:after="0"/>
        <w:jc w:val="both"/>
        <w:rPr>
          <w:rFonts w:ascii="Arial" w:hAnsi="Arial" w:cs="Arial"/>
          <w:sz w:val="18"/>
          <w:szCs w:val="18"/>
          <w:lang w:eastAsia="it-IT"/>
        </w:rPr>
      </w:pPr>
      <w:r>
        <w:rPr>
          <w:rFonts w:cs="Arial" w:ascii="Arial" w:hAnsi="Arial"/>
          <w:sz w:val="18"/>
          <w:szCs w:val="18"/>
          <w:lang w:eastAsia="it-IT"/>
        </w:rPr>
      </w:r>
    </w:p>
    <w:p>
      <w:pPr>
        <w:pStyle w:val="Normal"/>
        <w:shd w:val="clear" w:color="auto" w:fill="D9D9D9" w:themeFill="background1" w:themeFillShade="d9"/>
        <w:jc w:val="center"/>
        <w:rPr>
          <w:rFonts w:ascii="Arial" w:hAnsi="Arial" w:cs="Arial"/>
          <w:b/>
          <w:b/>
          <w:bCs/>
          <w:sz w:val="24"/>
          <w:szCs w:val="24"/>
        </w:rPr>
      </w:pPr>
      <w:bookmarkStart w:id="18" w:name="_Toc66372099"/>
      <w:bookmarkStart w:id="19" w:name="_Toc66897737"/>
      <w:bookmarkStart w:id="20" w:name="_Toc66897878"/>
      <w:bookmarkStart w:id="21" w:name="_Toc69908423"/>
      <w:bookmarkStart w:id="22" w:name="_Toc69974209"/>
      <w:r>
        <w:rPr>
          <w:rFonts w:cs="Arial" w:ascii="Arial" w:hAnsi="Arial"/>
          <w:b/>
          <w:bCs/>
          <w:sz w:val="24"/>
          <w:szCs w:val="24"/>
        </w:rPr>
        <w:t>Fatturazione</w:t>
      </w:r>
      <w:bookmarkEnd w:id="18"/>
      <w:bookmarkEnd w:id="19"/>
      <w:bookmarkEnd w:id="20"/>
      <w:bookmarkEnd w:id="21"/>
      <w:bookmarkEnd w:id="22"/>
    </w:p>
    <w:p>
      <w:pPr>
        <w:pStyle w:val="ListParagraph"/>
        <w:numPr>
          <w:ilvl w:val="0"/>
          <w:numId w:val="6"/>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false"/>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FATTURAZIONE, PAGAMENTI E TRACCIABILITA’ DEI FLUSSI FINANZIARI</w:t>
      </w:r>
    </w:p>
    <w:p>
      <w:pPr>
        <w:pStyle w:val="ListParagraph"/>
        <w:numPr>
          <w:ilvl w:val="0"/>
          <w:numId w:val="7"/>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false"/>
        <w:spacing w:lineRule="auto" w:line="276" w:before="0" w:after="0"/>
        <w:ind w:left="1440" w:hanging="1156"/>
        <w:contextualSpacing/>
        <w:jc w:val="both"/>
        <w:rPr>
          <w:rFonts w:ascii="Arial" w:hAnsi="Arial" w:cs="Arial"/>
          <w:b/>
          <w:b/>
          <w:bCs/>
          <w:sz w:val="18"/>
          <w:szCs w:val="18"/>
        </w:rPr>
      </w:pPr>
      <w:r>
        <w:rPr>
          <w:rFonts w:cs="Arial" w:ascii="Arial" w:hAnsi="Arial"/>
          <w:b/>
          <w:bCs/>
          <w:iCs/>
          <w:sz w:val="18"/>
          <w:szCs w:val="18"/>
        </w:rPr>
        <w:t xml:space="preserve">Fatturazione e pagamenti </w:t>
      </w:r>
    </w:p>
    <w:p>
      <w:pPr>
        <w:pStyle w:val="Normal"/>
        <w:tabs>
          <w:tab w:val="clear" w:pos="708"/>
          <w:tab w:val="left" w:pos="288" w:leader="none"/>
          <w:tab w:val="left" w:pos="57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s>
        <w:spacing w:before="0" w:after="0"/>
        <w:ind w:left="284" w:hanging="0"/>
        <w:jc w:val="both"/>
        <w:rPr>
          <w:rFonts w:ascii="Arial" w:hAnsi="Arial" w:cs="Arial"/>
          <w:bCs/>
          <w:sz w:val="18"/>
          <w:szCs w:val="18"/>
        </w:rPr>
      </w:pPr>
      <w:r>
        <w:rPr>
          <w:rFonts w:cs="Arial" w:ascii="Arial" w:hAnsi="Arial"/>
          <w:bCs/>
          <w:sz w:val="18"/>
          <w:szCs w:val="18"/>
        </w:rPr>
        <w:t>La fatturazione avverrà al termine dell’esecuzione del servizio.</w:t>
      </w:r>
    </w:p>
    <w:p>
      <w:pPr>
        <w:pStyle w:val="Normal"/>
        <w:spacing w:before="0" w:after="0"/>
        <w:ind w:left="284" w:hanging="0"/>
        <w:jc w:val="both"/>
        <w:rPr>
          <w:rFonts w:ascii="Arial" w:hAnsi="Arial" w:cs="Arial"/>
          <w:bCs/>
          <w:sz w:val="18"/>
          <w:szCs w:val="18"/>
        </w:rPr>
      </w:pPr>
      <w:r>
        <w:rPr>
          <w:rFonts w:cs="Arial" w:ascii="Arial" w:hAnsi="Arial"/>
          <w:bCs/>
          <w:sz w:val="18"/>
          <w:szCs w:val="18"/>
        </w:rPr>
        <w:t>Pagamento: rimessa diretta a 30 gg. data fattura, fine mese.</w:t>
      </w:r>
    </w:p>
    <w:p>
      <w:pPr>
        <w:pStyle w:val="ListParagraph"/>
        <w:numPr>
          <w:ilvl w:val="0"/>
          <w:numId w:val="7"/>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false"/>
        <w:spacing w:lineRule="auto" w:line="276" w:before="0" w:after="0"/>
        <w:ind w:left="1440" w:hanging="1156"/>
        <w:contextualSpacing/>
        <w:jc w:val="both"/>
        <w:rPr>
          <w:rFonts w:ascii="Arial" w:hAnsi="Arial" w:cs="Arial"/>
          <w:b/>
          <w:b/>
          <w:bCs/>
          <w:iCs/>
          <w:sz w:val="18"/>
          <w:szCs w:val="18"/>
        </w:rPr>
      </w:pPr>
      <w:r>
        <w:rPr>
          <w:rFonts w:cs="Arial" w:ascii="Arial" w:hAnsi="Arial"/>
          <w:b/>
          <w:bCs/>
          <w:iCs/>
          <w:sz w:val="18"/>
          <w:szCs w:val="18"/>
        </w:rPr>
        <w:t>Flussi finanziari</w:t>
      </w:r>
    </w:p>
    <w:p>
      <w:pPr>
        <w:pStyle w:val="Normal"/>
        <w:spacing w:before="0" w:after="0"/>
        <w:ind w:left="284" w:hanging="0"/>
        <w:jc w:val="both"/>
        <w:rPr>
          <w:rFonts w:ascii="Arial" w:hAnsi="Arial" w:cs="Arial"/>
          <w:sz w:val="18"/>
          <w:szCs w:val="18"/>
        </w:rPr>
      </w:pPr>
      <w:r>
        <w:rPr>
          <w:rFonts w:cs="Arial" w:ascii="Arial" w:hAnsi="Arial"/>
          <w:sz w:val="18"/>
          <w:szCs w:val="18"/>
        </w:rPr>
        <w:t>Ai sensi e per gli effetti dell'art.3, della legge 13 agosto 2010 n.136 e successive modifiche, le part si impegnano a rispettare puntualmente quanto previsto dalla predetta disposizione in ordine di tracciabilità dei flussi finanziari. Le parti si impegnano a dare immediata comunicazione alla stazione appaltante ed alla prefettura-ufficio territoriale del Governo della provincia ove ha sede la stazione appaltante, della notizia dell'inadempimento della propria controparte (subappaltatore/subcontraente) agli obblighi di tracciabilità finanziaria.</w:t>
      </w:r>
    </w:p>
    <w:p>
      <w:pPr>
        <w:pStyle w:val="ListParagraph"/>
        <w:numPr>
          <w:ilvl w:val="0"/>
          <w:numId w:val="7"/>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false"/>
        <w:spacing w:lineRule="auto" w:line="276" w:before="0" w:after="0"/>
        <w:ind w:left="1440" w:hanging="1156"/>
        <w:contextualSpacing/>
        <w:jc w:val="both"/>
        <w:rPr>
          <w:rFonts w:ascii="Arial" w:hAnsi="Arial" w:cs="Arial"/>
          <w:b/>
          <w:b/>
          <w:bCs/>
          <w:iCs/>
          <w:sz w:val="18"/>
          <w:szCs w:val="18"/>
        </w:rPr>
      </w:pPr>
      <w:r>
        <w:rPr>
          <w:rFonts w:cs="Arial" w:ascii="Arial" w:hAnsi="Arial"/>
          <w:b/>
          <w:bCs/>
          <w:iCs/>
          <w:sz w:val="18"/>
          <w:szCs w:val="18"/>
        </w:rPr>
        <w:t>Tracciabilità</w:t>
      </w:r>
    </w:p>
    <w:p>
      <w:pPr>
        <w:pStyle w:val="Normal"/>
        <w:spacing w:before="0" w:after="0"/>
        <w:ind w:left="284" w:hanging="0"/>
        <w:jc w:val="both"/>
        <w:rPr>
          <w:rFonts w:ascii="Arial" w:hAnsi="Arial" w:cs="Arial"/>
          <w:sz w:val="18"/>
          <w:szCs w:val="18"/>
        </w:rPr>
      </w:pPr>
      <w:r>
        <w:rPr>
          <w:rFonts w:cs="Arial" w:ascii="Arial" w:hAnsi="Arial"/>
          <w:sz w:val="18"/>
          <w:szCs w:val="18"/>
        </w:rPr>
        <w:t>Ai sensi dell'art. 3, comma 9-bis della legge 13 agosto 2010 n. 136 e successive modifiche, il mancato utilizzo del bonifico bancario o postale ovvero degli altri strumenti idonei a consentire la piena tracciabilità delle operazioni costituisce causa di risoluzione del contratto.</w:t>
      </w:r>
    </w:p>
    <w:p>
      <w:pPr>
        <w:pStyle w:val="ListParagraph"/>
        <w:numPr>
          <w:ilvl w:val="0"/>
          <w:numId w:val="7"/>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false"/>
        <w:spacing w:lineRule="auto" w:line="276" w:before="0" w:after="0"/>
        <w:ind w:left="1440" w:hanging="1156"/>
        <w:contextualSpacing/>
        <w:jc w:val="both"/>
        <w:rPr>
          <w:rFonts w:ascii="Arial" w:hAnsi="Arial" w:cs="Arial"/>
          <w:b/>
          <w:b/>
          <w:bCs/>
          <w:iCs/>
          <w:sz w:val="18"/>
          <w:szCs w:val="18"/>
        </w:rPr>
      </w:pPr>
      <w:r>
        <w:rPr>
          <w:rFonts w:cs="Arial" w:ascii="Arial" w:hAnsi="Arial"/>
          <w:b/>
          <w:bCs/>
          <w:iCs/>
          <w:sz w:val="18"/>
          <w:szCs w:val="18"/>
        </w:rPr>
        <w:t>Suscettibilità corrispettivi</w:t>
      </w:r>
    </w:p>
    <w:p>
      <w:pPr>
        <w:pStyle w:val="Normal"/>
        <w:spacing w:before="0" w:after="0"/>
        <w:ind w:left="284" w:hanging="0"/>
        <w:jc w:val="both"/>
        <w:rPr>
          <w:rFonts w:ascii="Arial" w:hAnsi="Arial" w:cs="Arial"/>
          <w:sz w:val="18"/>
          <w:szCs w:val="18"/>
        </w:rPr>
      </w:pPr>
      <w:r>
        <w:rPr>
          <w:rFonts w:cs="Arial" w:ascii="Arial" w:hAnsi="Arial"/>
          <w:sz w:val="18"/>
          <w:szCs w:val="18"/>
        </w:rPr>
        <w:t>I corrispettivi pattuiti sono suscettibili di variazione sulla base delle oscillazioni riscontrate nel mercato e altre eventuali cause che dovessero provocare significative modifiche dei costi di gestione.</w:t>
      </w:r>
    </w:p>
    <w:p>
      <w:pPr>
        <w:pStyle w:val="Normal"/>
        <w:spacing w:before="0" w:after="0"/>
        <w:ind w:left="284" w:hanging="0"/>
        <w:jc w:val="both"/>
        <w:rPr>
          <w:rFonts w:ascii="Arial" w:hAnsi="Arial" w:cs="Arial"/>
          <w:sz w:val="10"/>
          <w:szCs w:val="10"/>
        </w:rPr>
      </w:pPr>
      <w:r>
        <w:rPr>
          <w:rFonts w:cs="Arial" w:ascii="Arial" w:hAnsi="Arial"/>
          <w:sz w:val="10"/>
          <w:szCs w:val="10"/>
        </w:rPr>
      </w:r>
    </w:p>
    <w:p>
      <w:pPr>
        <w:pStyle w:val="ListParagraph"/>
        <w:numPr>
          <w:ilvl w:val="0"/>
          <w:numId w:val="6"/>
        </w:numPr>
        <w:tabs>
          <w:tab w:val="clear" w:pos="708"/>
          <w:tab w:val="left" w:pos="-1440" w:leader="none"/>
          <w:tab w:val="left" w:pos="-720" w:leader="none"/>
          <w:tab w:val="left" w:pos="0" w:leader="none"/>
          <w:tab w:val="left" w:pos="288" w:leader="none"/>
          <w:tab w:val="left" w:pos="426" w:leader="none"/>
          <w:tab w:val="left" w:pos="864" w:leader="none"/>
          <w:tab w:val="left" w:pos="1416"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false"/>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16"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DETERMINA ED ESTREMI DI FATTURAZIONE</w:t>
      </w:r>
    </w:p>
    <w:p>
      <w:pPr>
        <w:pStyle w:val="Normal"/>
        <w:tabs>
          <w:tab w:val="clear" w:pos="708"/>
          <w:tab w:val="left" w:pos="288" w:leader="none"/>
          <w:tab w:val="left" w:pos="57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s>
        <w:spacing w:before="0" w:after="0"/>
        <w:jc w:val="both"/>
        <w:rPr>
          <w:rFonts w:ascii="Arial" w:hAnsi="Arial" w:cs="Arial"/>
          <w:sz w:val="18"/>
          <w:szCs w:val="18"/>
        </w:rPr>
      </w:pPr>
      <w:r>
        <w:rPr>
          <w:rFonts w:cs="Arial" w:ascii="Arial" w:hAnsi="Arial"/>
          <w:sz w:val="18"/>
          <w:szCs w:val="18"/>
        </w:rPr>
        <w:t>Secondo quanto stabilito nell'art. 191 comma 1 del T.U. 18/08/2000 n. 267 e successive modifiche, il Cliente dovrà comunicare l'impegno e la copertura finanziaria utile per l'emissione delle relative fatture, riportandoli nello spazio “Dati necessari per la fatturazione” presente nell’ultima pagina della presente offerta, che va rispedita alla Halley SUD completa di tutti i dati, timbrata e controfirmata dal Legale Responsabile del Cliente o soggetto ad uopo formalmente delegato.</w:t>
        <w:br/>
        <w:t xml:space="preserve">In mancanza della comunicazione, Halley SUD ha facoltà di non eseguire la prestazione sino a quando i dati non gli vengano comunicati.  </w:t>
      </w:r>
      <w:bookmarkStart w:id="23" w:name="_Toc66372100"/>
    </w:p>
    <w:p>
      <w:pPr>
        <w:pStyle w:val="Normal"/>
        <w:tabs>
          <w:tab w:val="clear" w:pos="708"/>
          <w:tab w:val="left" w:pos="288" w:leader="none"/>
          <w:tab w:val="left" w:pos="57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s>
        <w:spacing w:before="0" w:after="0"/>
        <w:jc w:val="both"/>
        <w:rPr>
          <w:rFonts w:ascii="Arial" w:hAnsi="Arial" w:cs="Arial"/>
          <w:sz w:val="2"/>
          <w:szCs w:val="2"/>
        </w:rPr>
      </w:pPr>
      <w:r>
        <w:rPr>
          <w:rFonts w:cs="Arial" w:ascii="Arial" w:hAnsi="Arial"/>
          <w:sz w:val="2"/>
          <w:szCs w:val="2"/>
        </w:rPr>
      </w:r>
    </w:p>
    <w:p>
      <w:pPr>
        <w:pStyle w:val="Normal"/>
        <w:shd w:val="clear" w:color="auto" w:fill="D9D9D9" w:themeFill="background1" w:themeFillShade="d9"/>
        <w:jc w:val="center"/>
        <w:rPr>
          <w:rFonts w:ascii="Arial" w:hAnsi="Arial" w:cs="Arial"/>
          <w:b/>
          <w:b/>
          <w:bCs/>
          <w:sz w:val="24"/>
          <w:szCs w:val="24"/>
        </w:rPr>
      </w:pPr>
      <w:bookmarkStart w:id="24" w:name="_Toc66897738"/>
      <w:bookmarkStart w:id="25" w:name="_Toc66897879"/>
      <w:bookmarkStart w:id="26" w:name="_Toc69908424"/>
      <w:bookmarkStart w:id="27" w:name="_Toc69974210"/>
      <w:r>
        <w:rPr>
          <w:rFonts w:cs="Arial" w:ascii="Arial" w:hAnsi="Arial"/>
          <w:b/>
          <w:bCs/>
          <w:sz w:val="24"/>
          <w:szCs w:val="24"/>
        </w:rPr>
        <w:t>Privacy e trattamento dei dati</w:t>
      </w:r>
      <w:bookmarkEnd w:id="23"/>
      <w:bookmarkEnd w:id="24"/>
      <w:bookmarkEnd w:id="25"/>
      <w:bookmarkEnd w:id="26"/>
      <w:bookmarkEnd w:id="27"/>
    </w:p>
    <w:p>
      <w:pPr>
        <w:pStyle w:val="ListParagraph"/>
        <w:numPr>
          <w:ilvl w:val="0"/>
          <w:numId w:val="6"/>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false"/>
        <w:spacing w:before="24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INFORMATIVA SUL TRATTAMENTO DEI DATI</w:t>
      </w:r>
    </w:p>
    <w:p>
      <w:pPr>
        <w:pStyle w:val="Normal"/>
        <w:spacing w:before="0" w:after="0"/>
        <w:jc w:val="both"/>
        <w:rPr>
          <w:rFonts w:ascii="Arial" w:hAnsi="Arial" w:cs="Arial"/>
          <w:sz w:val="18"/>
          <w:szCs w:val="18"/>
          <w:lang w:eastAsia="it-IT"/>
        </w:rPr>
      </w:pPr>
      <w:r>
        <w:rPr>
          <w:rFonts w:cs="Arial" w:ascii="Arial" w:hAnsi="Arial"/>
          <w:sz w:val="18"/>
          <w:szCs w:val="18"/>
          <w:lang w:eastAsia="it-IT"/>
        </w:rPr>
        <w:t xml:space="preserve">L'informativa sul trattamento dei dati personali è pubblicata nel sito </w:t>
      </w:r>
      <w:hyperlink r:id="rId3" w:tgtFrame="http://www.halleysud.it">
        <w:r>
          <w:rPr>
            <w:rStyle w:val="CollegamentoInternet"/>
            <w:rFonts w:cs="Arial" w:ascii="Arial" w:hAnsi="Arial"/>
            <w:sz w:val="18"/>
            <w:szCs w:val="18"/>
            <w:lang w:eastAsia="it-IT"/>
          </w:rPr>
          <w:t>www.halleysud.it</w:t>
        </w:r>
      </w:hyperlink>
      <w:r>
        <w:rPr>
          <w:rFonts w:cs="Arial" w:ascii="Arial" w:hAnsi="Arial"/>
          <w:sz w:val="18"/>
          <w:szCs w:val="18"/>
          <w:lang w:eastAsia="it-IT"/>
        </w:rPr>
        <w:t xml:space="preserve"> - sezione Privacy - Informativa nei confronti dei Clienti, e si considera qui integralmente riportata.</w:t>
      </w:r>
    </w:p>
    <w:p>
      <w:pPr>
        <w:pStyle w:val="Normal"/>
        <w:spacing w:before="0" w:after="0"/>
        <w:jc w:val="both"/>
        <w:rPr>
          <w:rFonts w:ascii="Arial" w:hAnsi="Arial" w:cs="Arial"/>
          <w:sz w:val="18"/>
          <w:szCs w:val="18"/>
          <w:lang w:eastAsia="it-IT"/>
        </w:rPr>
      </w:pPr>
      <w:r>
        <w:rPr>
          <w:rFonts w:cs="Arial" w:ascii="Arial" w:hAnsi="Arial"/>
          <w:sz w:val="18"/>
          <w:szCs w:val="18"/>
          <w:lang w:eastAsia="it-IT"/>
        </w:rPr>
      </w:r>
    </w:p>
    <w:p>
      <w:pPr>
        <w:pStyle w:val="ListParagraph"/>
        <w:numPr>
          <w:ilvl w:val="0"/>
          <w:numId w:val="6"/>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false"/>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NOMINA A RESPONSABILE DEL TRATTAMENTO</w:t>
      </w:r>
    </w:p>
    <w:p>
      <w:pPr>
        <w:pStyle w:val="Normal"/>
        <w:spacing w:before="0" w:after="0"/>
        <w:jc w:val="both"/>
        <w:rPr>
          <w:rFonts w:ascii="Arial" w:hAnsi="Arial" w:cs="Arial"/>
          <w:sz w:val="18"/>
          <w:szCs w:val="18"/>
        </w:rPr>
      </w:pPr>
      <w:r>
        <w:rPr>
          <w:rFonts w:cs="Arial" w:ascii="Arial" w:hAnsi="Arial"/>
          <w:sz w:val="18"/>
          <w:szCs w:val="18"/>
        </w:rPr>
        <w:t>Il Cliente, accettando la presente offerta per i servizi ivi indicati, nomina Halley SUD S.r.l quale Responsabile per il trattamento dei dati. Per effetto della presente nomina, che annulla e sostituisce ogni altra eventuale precedente nomina, Halley SUD è autorizzata esclusivamente al trattamento dei dati personali e/o particolari forniti dal Titolare del Trattamento (di seguito anche “Cliente”) nella misura e nei limiti necessari all’esecuzione delle attività ad essa assegnate.</w:t>
      </w:r>
    </w:p>
    <w:p>
      <w:pPr>
        <w:pStyle w:val="Normal"/>
        <w:spacing w:before="0" w:after="0"/>
        <w:jc w:val="both"/>
        <w:rPr>
          <w:rFonts w:ascii="Arial" w:hAnsi="Arial" w:cs="Arial"/>
          <w:sz w:val="18"/>
          <w:szCs w:val="18"/>
        </w:rPr>
      </w:pPr>
      <w:r>
        <w:rPr>
          <w:rFonts w:cs="Arial" w:ascii="Arial" w:hAnsi="Arial"/>
          <w:sz w:val="18"/>
          <w:szCs w:val="18"/>
        </w:rPr>
        <w:t>Halley SUD ha il potere di compiere tutte le attività necessarie per assicurare il rispetto delle vigenti disposizioni in materia nonché il compito di organizzare, gestire e supervisionare tutte le operazioni di trattamento dei dati personali ad essa comunicati dal Cliente ai fini dell’esecuzione delle attività oggetto del presente contratto.</w:t>
      </w:r>
    </w:p>
    <w:p>
      <w:pPr>
        <w:pStyle w:val="Normal"/>
        <w:spacing w:before="0" w:after="0"/>
        <w:jc w:val="both"/>
        <w:rPr>
          <w:rFonts w:ascii="Arial" w:hAnsi="Arial" w:cs="Arial"/>
          <w:sz w:val="18"/>
          <w:szCs w:val="18"/>
        </w:rPr>
      </w:pPr>
      <w:r>
        <w:rPr>
          <w:rFonts w:cs="Arial" w:ascii="Arial" w:hAnsi="Arial"/>
          <w:sz w:val="18"/>
          <w:szCs w:val="18"/>
        </w:rPr>
        <w:t>In conformità a quanto prescritto dal Codice Privacy e dal Regolamento n. 679/2016 relativamente ai dati personali ed alle modalità di trattamento, si precisa che Halley SUD è tenuta a:</w:t>
      </w:r>
    </w:p>
    <w:p>
      <w:pPr>
        <w:pStyle w:val="Normal"/>
        <w:spacing w:before="0" w:after="0"/>
        <w:jc w:val="both"/>
        <w:rPr>
          <w:rFonts w:ascii="Arial" w:hAnsi="Arial" w:cs="Arial"/>
          <w:sz w:val="18"/>
          <w:szCs w:val="18"/>
        </w:rPr>
      </w:pPr>
      <w:r>
        <w:rPr>
          <w:rFonts w:cs="Arial" w:ascii="Arial" w:hAnsi="Arial"/>
          <w:sz w:val="18"/>
          <w:szCs w:val="18"/>
        </w:rPr>
        <w:t>a) svolgere le attività oggetto del contratto in conformità alle disposizioni previste dal Regolamento (UE) 679/2016 e, nello specifico, ai principi enunciati dall’art. 5 GDPR, del cui rispetto il Responsabile dev’essere competente, nonché in conformità ai provvedimenti emanati dal Garante per la protezione dei dati personali e, in generale, alla normativa europea o statale;</w:t>
      </w:r>
    </w:p>
    <w:p>
      <w:pPr>
        <w:pStyle w:val="Normal"/>
        <w:shd w:val="clear" w:color="auto" w:fill="FFFFFF" w:themeFill="background1"/>
        <w:spacing w:before="0" w:after="0"/>
        <w:jc w:val="both"/>
        <w:rPr>
          <w:rFonts w:ascii="Arial" w:hAnsi="Arial" w:cs="Arial"/>
          <w:sz w:val="18"/>
          <w:szCs w:val="18"/>
        </w:rPr>
      </w:pPr>
      <w:r>
        <w:rPr>
          <w:rFonts w:cs="Arial" w:ascii="Arial" w:hAnsi="Arial"/>
          <w:sz w:val="18"/>
          <w:szCs w:val="18"/>
        </w:rPr>
        <w:t>b) attenersi al divieto di comunicazione dei dati personali salvo il caso in cui ciò si renda necessario per ottemperare a specifici obblighi disposti dalle autorità pubbliche o per l’adempimento dell’incarico affidato mediante contratto dal Cliente al Responsabile. In tal caso il Cliente autorizza l’eventuale comunicazione dei dati personali a terzi, che dovranno a loro volta essere regolarmente nominati Responsabili del trattamento, esclusivamente al fine di adempiere agli obblighi contrattuali o al fine di ottemperare a specifici obblighi disposti da leggi o regolamenti applicabili al Responsabile;</w:t>
      </w:r>
    </w:p>
    <w:p>
      <w:pPr>
        <w:pStyle w:val="Normal"/>
        <w:spacing w:before="0" w:after="0"/>
        <w:jc w:val="both"/>
        <w:rPr>
          <w:rFonts w:ascii="Arial" w:hAnsi="Arial" w:cs="Arial"/>
          <w:sz w:val="18"/>
          <w:szCs w:val="18"/>
        </w:rPr>
      </w:pPr>
      <w:r>
        <w:rPr>
          <w:rFonts w:cs="Arial" w:ascii="Arial" w:hAnsi="Arial"/>
          <w:sz w:val="18"/>
          <w:szCs w:val="18"/>
        </w:rPr>
        <w:t>c) rispettare le condizioni di cui all’art. 28, paragrafi 2 e 4, GDPR per ricorrere ad un altro Responsabile del trattamento; in particolare, il Responsabile, qualora ricorra ad altro Responsabile per l’esecuzione di specifiche attività di trattamento per conto del Cliente, è consapevole che l’altro Responsabile dovrà sottostare agli stessi obblighi previsti nella presente nomina;</w:t>
      </w:r>
    </w:p>
    <w:p>
      <w:pPr>
        <w:pStyle w:val="Normal"/>
        <w:spacing w:before="0" w:after="0"/>
        <w:jc w:val="both"/>
        <w:rPr>
          <w:rFonts w:ascii="Arial" w:hAnsi="Arial" w:cs="Arial"/>
          <w:sz w:val="18"/>
          <w:szCs w:val="18"/>
        </w:rPr>
      </w:pPr>
      <w:r>
        <w:rPr>
          <w:rFonts w:cs="Arial" w:ascii="Arial" w:hAnsi="Arial"/>
          <w:sz w:val="18"/>
          <w:szCs w:val="18"/>
        </w:rPr>
        <w:t>d) attenersi al divieto di diffusione nonché al divieto di utilizzo autonomo dei dati personali per finalità diverse rispetto a quelle specificate nella presente nomina;</w:t>
      </w:r>
    </w:p>
    <w:p>
      <w:pPr>
        <w:pStyle w:val="Normal"/>
        <w:spacing w:before="0" w:after="0"/>
        <w:jc w:val="both"/>
        <w:rPr>
          <w:rFonts w:ascii="Arial" w:hAnsi="Arial" w:cs="Arial"/>
          <w:sz w:val="2"/>
          <w:szCs w:val="2"/>
        </w:rPr>
      </w:pPr>
      <w:r>
        <w:rPr>
          <w:rFonts w:cs="Arial" w:ascii="Arial" w:hAnsi="Arial"/>
          <w:sz w:val="2"/>
          <w:szCs w:val="2"/>
        </w:rPr>
      </w:r>
    </w:p>
    <w:p>
      <w:pPr>
        <w:pStyle w:val="Normal"/>
        <w:spacing w:before="0" w:after="0"/>
        <w:jc w:val="both"/>
        <w:rPr>
          <w:rFonts w:ascii="Arial" w:hAnsi="Arial" w:cs="Arial"/>
          <w:sz w:val="18"/>
          <w:szCs w:val="18"/>
        </w:rPr>
      </w:pPr>
      <w:r>
        <w:rPr>
          <w:rFonts w:cs="Arial" w:ascii="Arial" w:hAnsi="Arial"/>
          <w:sz w:val="18"/>
          <w:szCs w:val="18"/>
        </w:rPr>
        <w:t>e) garantire che, all’interno della sua organizzazione e sotto la sua autorità, i dati personali siano trattati soltanto da persone appositamente incaricate e individuate come autorizzate al trattamento, le quali si siano impegnate a trattare e custodire in modo sicuro e riservato i dati loro affidati;</w:t>
      </w:r>
    </w:p>
    <w:p>
      <w:pPr>
        <w:pStyle w:val="Normal"/>
        <w:spacing w:before="0" w:after="0"/>
        <w:jc w:val="both"/>
        <w:rPr>
          <w:rFonts w:ascii="Arial" w:hAnsi="Arial" w:cs="Arial"/>
          <w:sz w:val="18"/>
          <w:szCs w:val="18"/>
        </w:rPr>
      </w:pPr>
      <w:r>
        <w:rPr>
          <w:rFonts w:cs="Arial" w:ascii="Arial" w:hAnsi="Arial"/>
          <w:sz w:val="18"/>
          <w:szCs w:val="18"/>
        </w:rPr>
        <w:t>f) adottare le misure richieste ai sensi dell’art. 32 GDPR;</w:t>
      </w:r>
    </w:p>
    <w:p>
      <w:pPr>
        <w:pStyle w:val="Normal"/>
        <w:spacing w:before="0" w:after="0"/>
        <w:jc w:val="both"/>
        <w:rPr>
          <w:rFonts w:ascii="Arial" w:hAnsi="Arial" w:cs="Arial"/>
          <w:sz w:val="18"/>
          <w:szCs w:val="18"/>
        </w:rPr>
      </w:pPr>
      <w:r>
        <w:rPr>
          <w:rFonts w:cs="Arial" w:ascii="Arial" w:hAnsi="Arial"/>
          <w:sz w:val="18"/>
          <w:szCs w:val="18"/>
        </w:rPr>
        <w:t>g) coadiuvare ed assistere il Titolare, nell’ambito dei servizi oggetto della presente scrittura, nel dar seguito alle richieste per l’esercizio dei diritti dell’interessato di cui agli artt. da 15 a 22 GDPR;</w:t>
        <w:br/>
        <w:t xml:space="preserve">h) assistere il Titolare nel garantire il rispetto degli obblighi di cui agli artt. da 32 a 36 GDPR, ed in particolare: </w:t>
      </w:r>
    </w:p>
    <w:p>
      <w:pPr>
        <w:pStyle w:val="Normal"/>
        <w:spacing w:before="0" w:after="0"/>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  nella predisposizione delle misure di sicurezza da adottare a protezione dei dati; </w:t>
      </w:r>
    </w:p>
    <w:p>
      <w:pPr>
        <w:pStyle w:val="Normal"/>
        <w:spacing w:before="0" w:after="0"/>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  nel dare notizia e documentare al Cliente le eventuali violazioni subite, senza ingiustificato ritardo dalla scoperta delle stesse. A tal fine il Responsabile si impegna a comunicare, per iscritto, nel momento in cui ne è venuto a conoscenza, ogni violazione dei dati personali subita da sé o da qualsivoglia Sub-responsabile; </w:t>
      </w:r>
    </w:p>
    <w:p>
      <w:pPr>
        <w:pStyle w:val="Normal"/>
        <w:spacing w:before="0" w:after="0"/>
        <w:jc w:val="both"/>
        <w:rPr>
          <w:rFonts w:ascii="Arial" w:hAnsi="Arial" w:cs="Arial"/>
          <w:sz w:val="18"/>
          <w:szCs w:val="18"/>
        </w:rPr>
      </w:pPr>
      <w:r>
        <w:rPr>
          <w:rFonts w:cs="Arial" w:ascii="Arial" w:hAnsi="Arial"/>
          <w:sz w:val="18"/>
          <w:szCs w:val="18"/>
        </w:rPr>
        <w:t xml:space="preserve">    </w:t>
      </w:r>
      <w:r>
        <w:rPr>
          <w:rFonts w:cs="Arial" w:ascii="Arial" w:hAnsi="Arial"/>
          <w:sz w:val="18"/>
          <w:szCs w:val="18"/>
        </w:rPr>
        <w:t>-  nello svolgere, ove necessario, una valutazione d’impatto sulla protezione dei dati e una consultazione preventiva dell’Autorità di Controllo (Garante per la protezione dei dati personali);</w:t>
      </w:r>
    </w:p>
    <w:p>
      <w:pPr>
        <w:pStyle w:val="Normal"/>
        <w:spacing w:before="0" w:after="0"/>
        <w:jc w:val="both"/>
        <w:rPr>
          <w:rFonts w:ascii="Arial" w:hAnsi="Arial" w:cs="Arial"/>
          <w:sz w:val="18"/>
          <w:szCs w:val="18"/>
        </w:rPr>
      </w:pPr>
      <w:r>
        <w:rPr>
          <w:rFonts w:cs="Arial" w:ascii="Arial" w:hAnsi="Arial"/>
          <w:sz w:val="18"/>
          <w:szCs w:val="18"/>
        </w:rPr>
        <w:t xml:space="preserve">i) restituire e/o cancellare i dati personali al termine del trattamento oggetto del rapporto in essere, eliminando qualunque copia – in formato cartaceo e/o elettronico – sia stata fatta dagli stessi, salvo diverso obbligo di legge. È fatto salvo il diritto del Responsabile di trattare i dati personali anche successivamente alla data di cessazione del contratto al solo ed esclusivo fine di ottemperare a specifici obblighi disposti da leggi o regolamenti applicabili al Responsabile, nei limiti e per la durata da questi previsti; </w:t>
      </w:r>
    </w:p>
    <w:p>
      <w:pPr>
        <w:pStyle w:val="Normal"/>
        <w:spacing w:before="0" w:after="0"/>
        <w:jc w:val="both"/>
        <w:rPr>
          <w:rFonts w:ascii="Arial" w:hAnsi="Arial" w:cs="Arial"/>
          <w:sz w:val="18"/>
          <w:szCs w:val="18"/>
        </w:rPr>
      </w:pPr>
      <w:r>
        <w:rPr>
          <w:rFonts w:cs="Arial" w:ascii="Arial" w:hAnsi="Arial"/>
          <w:sz w:val="18"/>
          <w:szCs w:val="18"/>
        </w:rPr>
        <w:t xml:space="preserve">j) mettere a disposizione del Cliente tutte le informazioni necessarie per dimostrare il rispetto degli obblighi previsti dal GDPR e ai sensi dell’art. 31 GDPR, cooperare, su richiesta, con l’Autorità di controllo; </w:t>
      </w:r>
    </w:p>
    <w:p>
      <w:pPr>
        <w:pStyle w:val="Normal"/>
        <w:shd w:val="clear" w:color="auto" w:fill="FFFFFF" w:themeFill="background1"/>
        <w:spacing w:before="0" w:after="0"/>
        <w:jc w:val="both"/>
        <w:rPr>
          <w:rFonts w:ascii="Arial" w:hAnsi="Arial" w:cs="Arial"/>
          <w:sz w:val="18"/>
          <w:szCs w:val="18"/>
        </w:rPr>
      </w:pPr>
      <w:r>
        <w:rPr>
          <w:rFonts w:cs="Arial" w:ascii="Arial" w:hAnsi="Arial"/>
          <w:sz w:val="18"/>
          <w:szCs w:val="18"/>
        </w:rPr>
        <w:t xml:space="preserve">k) garantire al Cliente la possibilità di effettuare audit previo accordo su tempistiche e modalità;                          </w:t>
      </w:r>
    </w:p>
    <w:p>
      <w:pPr>
        <w:pStyle w:val="Normal"/>
        <w:shd w:val="clear" w:color="auto" w:fill="FFFFFF" w:themeFill="background1"/>
        <w:spacing w:before="0" w:after="0"/>
        <w:jc w:val="both"/>
        <w:rPr>
          <w:rFonts w:ascii="Arial" w:hAnsi="Arial" w:cs="Arial"/>
          <w:sz w:val="18"/>
          <w:szCs w:val="18"/>
        </w:rPr>
      </w:pPr>
      <w:r>
        <w:rPr>
          <w:rFonts w:cs="Arial" w:ascii="Arial" w:hAnsi="Arial"/>
          <w:sz w:val="18"/>
          <w:szCs w:val="18"/>
        </w:rPr>
        <w:t>l) redigere il registro delle categorie di attività di trattamento, in conformità a quanto richiesto dall’art. 30 GDPR;</w:t>
      </w:r>
    </w:p>
    <w:p>
      <w:pPr>
        <w:pStyle w:val="Normal"/>
        <w:shd w:val="clear" w:color="auto" w:fill="FFFFFF" w:themeFill="background1"/>
        <w:spacing w:before="0" w:after="0"/>
        <w:jc w:val="both"/>
        <w:rPr>
          <w:rFonts w:ascii="Arial" w:hAnsi="Arial" w:cs="Arial"/>
          <w:sz w:val="18"/>
          <w:szCs w:val="18"/>
        </w:rPr>
      </w:pPr>
      <w:r>
        <w:rPr>
          <w:rFonts w:cs="Arial" w:ascii="Arial" w:hAnsi="Arial"/>
          <w:sz w:val="18"/>
          <w:szCs w:val="18"/>
        </w:rPr>
        <w:t xml:space="preserve">m) non trasferire i dati personali trattati per conto del Cliente al di fuori della Comunità Europea o ad organizzazioni internazionali. </w:t>
      </w:r>
    </w:p>
    <w:p>
      <w:pPr>
        <w:pStyle w:val="Normal"/>
        <w:jc w:val="both"/>
        <w:rPr>
          <w:rFonts w:ascii="Arial" w:hAnsi="Arial" w:cs="Arial"/>
          <w:sz w:val="18"/>
          <w:szCs w:val="18"/>
        </w:rPr>
      </w:pPr>
      <w:bookmarkStart w:id="28" w:name="_Hlk118969833"/>
      <w:r>
        <w:rPr>
          <w:rFonts w:cs="Arial" w:ascii="Arial" w:hAnsi="Arial"/>
          <w:sz w:val="18"/>
          <w:szCs w:val="18"/>
        </w:rPr>
        <w:t>Sotto il profilo della responsabilità per i danni cagionati dal Responsabile, si richiamano gli artt. 82, 83 e 84 GDPR. Sono a carico del Cliente tutti gli obblighi stabiliti dalla normativa nei confronti degli interessati, compresi, a titolo meramente esemplificativo, gli obblighi di informazione, gli obblighi relativi al conferimento del consenso, gli obblighi relativi all’esercizio dei diritti degli interessati. Nessun corrispettivo è dovuto dal Cliente al Responsabile per l’espletamento della funzione. L’atto di nomina avrà durata pari a quella del contratto e la sua efficacia cesserà alla data in cui il contratto verrà meno per qualsivoglia motivo. Nel caso in cui, in qualsiasi momento, una delle disposizioni della presente nomina sia o diventi invalida o inapplicabile, tale disposizione sarà considerata autonomamente rispetto alla presente nomina e, se possibile, sostituita da una disposizione legittima e, ove consentito, non influenza la validità o l’applicabilità di alcuna altra disposizione della presente nomina. Per tutto quanto non espressamente specificato, il Responsabile si atterrà a quanto previsto dal Regolamento (UE) 679/2016, dal Codice Privacy e a successive disposizioni normative in materia di protezione dei dati personali.</w:t>
      </w:r>
      <w:bookmarkEnd w:id="28"/>
    </w:p>
    <w:p>
      <w:pPr>
        <w:pStyle w:val="ListParagraph"/>
        <w:numPr>
          <w:ilvl w:val="0"/>
          <w:numId w:val="6"/>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false"/>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MISURE DI SICUREZZA (REGOLAMENTO UE 679/2016 - GDPR)</w:t>
      </w:r>
    </w:p>
    <w:p>
      <w:pPr>
        <w:pStyle w:val="Normal"/>
        <w:spacing w:before="0" w:after="0"/>
        <w:jc w:val="both"/>
        <w:rPr>
          <w:rFonts w:ascii="Arial" w:hAnsi="Arial" w:cs="Arial"/>
          <w:sz w:val="18"/>
          <w:szCs w:val="18"/>
        </w:rPr>
      </w:pPr>
      <w:r>
        <w:rPr>
          <w:rFonts w:cs="Arial" w:ascii="Arial" w:hAnsi="Arial"/>
          <w:sz w:val="18"/>
          <w:szCs w:val="18"/>
        </w:rPr>
        <w:t xml:space="preserve">Il Regolamento Europeo 679/2016 (meglio noto come GDPR) ha introdotto il principio dell’accountability (responsabilizzazione nella traduzione italiana), individuando nel Titolare del trattamento dei dati, il soggetto competente a garantire il rispetto dei principi posti dalla nuova disciplina in tema di trattamento dei dati personali. </w:t>
      </w:r>
    </w:p>
    <w:p>
      <w:pPr>
        <w:pStyle w:val="Normal"/>
        <w:spacing w:before="0" w:after="0"/>
        <w:jc w:val="both"/>
        <w:rPr>
          <w:rFonts w:ascii="Arial" w:hAnsi="Arial" w:cs="Arial"/>
          <w:sz w:val="18"/>
          <w:szCs w:val="18"/>
        </w:rPr>
      </w:pPr>
      <w:r>
        <w:rPr>
          <w:rFonts w:cs="Arial" w:ascii="Arial" w:hAnsi="Arial"/>
          <w:sz w:val="18"/>
          <w:szCs w:val="18"/>
        </w:rPr>
        <w:t xml:space="preserve">In particolare l’art. 24 del Regolamento prevede che tenuto conto della natura, dell’ambito di applicazione, del contesto e delle finalità del trattamento, nonché dei rischi aventi probabilità e gravità diverse per i diritti e le libertà delle persone fisiche, il Titolare del trattamento debba mettere in atto misure tecniche e organizzative adeguate a garantire ed essere in grado di dimostrare, che il trattamento sia effettuato conformemente al Regolamento. </w:t>
      </w:r>
    </w:p>
    <w:p>
      <w:pPr>
        <w:pStyle w:val="Normal"/>
        <w:spacing w:before="0" w:after="0"/>
        <w:jc w:val="both"/>
        <w:rPr>
          <w:rFonts w:ascii="Arial" w:hAnsi="Arial" w:cs="Arial"/>
          <w:sz w:val="18"/>
          <w:szCs w:val="18"/>
        </w:rPr>
      </w:pPr>
      <w:r>
        <w:rPr>
          <w:rFonts w:cs="Arial" w:ascii="Arial" w:hAnsi="Arial"/>
          <w:sz w:val="18"/>
          <w:szCs w:val="18"/>
        </w:rPr>
        <w:t xml:space="preserve">Halley SUD garantisce, già da tempo, procedure e interventi “privacy compliance” e supporta il Cliente nell’adeguamento alla normativa comunitaria offrendo servizi in grado di assicurare un livello di sicurezza adeguato contro i rischi di accesso in modo abusivo o illegale a dati personali trasmessi, conservati o comunque trattati. </w:t>
      </w:r>
    </w:p>
    <w:p>
      <w:pPr>
        <w:pStyle w:val="Normal"/>
        <w:spacing w:before="0" w:after="0"/>
        <w:jc w:val="both"/>
        <w:rPr>
          <w:rFonts w:ascii="Arial" w:hAnsi="Arial" w:cs="Arial"/>
          <w:sz w:val="18"/>
          <w:szCs w:val="18"/>
        </w:rPr>
      </w:pPr>
      <w:r>
        <w:rPr>
          <w:rFonts w:cs="Arial" w:ascii="Arial" w:hAnsi="Arial"/>
          <w:sz w:val="18"/>
          <w:szCs w:val="18"/>
        </w:rPr>
      </w:r>
    </w:p>
    <w:p>
      <w:pPr>
        <w:pStyle w:val="Normal"/>
        <w:spacing w:before="0" w:after="0"/>
        <w:jc w:val="both"/>
        <w:rPr>
          <w:rFonts w:ascii="Arial" w:hAnsi="Arial" w:cs="Arial"/>
          <w:sz w:val="18"/>
          <w:szCs w:val="18"/>
        </w:rPr>
      </w:pPr>
      <w:r>
        <w:rPr>
          <w:rFonts w:cs="Arial" w:ascii="Arial" w:hAnsi="Arial"/>
          <w:sz w:val="18"/>
          <w:szCs w:val="18"/>
        </w:rPr>
      </w:r>
    </w:p>
    <w:p>
      <w:pPr>
        <w:pStyle w:val="Normal"/>
        <w:shd w:val="clear" w:color="auto" w:fill="D9D9D9" w:themeFill="background1" w:themeFillShade="d9"/>
        <w:jc w:val="center"/>
        <w:rPr>
          <w:rFonts w:ascii="Arial" w:hAnsi="Arial" w:cs="Arial"/>
          <w:b/>
          <w:b/>
          <w:bCs/>
          <w:sz w:val="24"/>
          <w:szCs w:val="24"/>
        </w:rPr>
      </w:pPr>
      <w:bookmarkStart w:id="29" w:name="_Toc66372101"/>
      <w:bookmarkStart w:id="30" w:name="_Toc66897739"/>
      <w:bookmarkStart w:id="31" w:name="_Toc66897880"/>
      <w:bookmarkStart w:id="32" w:name="_Toc69908425"/>
      <w:bookmarkStart w:id="33" w:name="_Toc69974211"/>
      <w:r>
        <w:rPr>
          <w:rFonts w:cs="Arial" w:ascii="Arial" w:hAnsi="Arial"/>
          <w:b/>
          <w:bCs/>
          <w:sz w:val="24"/>
          <w:szCs w:val="24"/>
        </w:rPr>
        <w:t>Articoli finali</w:t>
      </w:r>
      <w:bookmarkEnd w:id="29"/>
      <w:bookmarkEnd w:id="30"/>
      <w:bookmarkEnd w:id="31"/>
      <w:bookmarkEnd w:id="32"/>
      <w:bookmarkEnd w:id="33"/>
    </w:p>
    <w:p>
      <w:pPr>
        <w:pStyle w:val="ListParagraph"/>
        <w:numPr>
          <w:ilvl w:val="0"/>
          <w:numId w:val="6"/>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false"/>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VALIDITA’ DELL’OFFERTA</w:t>
      </w:r>
    </w:p>
    <w:p>
      <w:pPr>
        <w:pStyle w:val="Normal"/>
        <w:spacing w:before="0" w:after="0"/>
        <w:rPr>
          <w:rFonts w:ascii="Arial" w:hAnsi="Arial" w:cs="Arial"/>
          <w:sz w:val="18"/>
          <w:szCs w:val="18"/>
        </w:rPr>
      </w:pPr>
      <w:r>
        <w:rPr>
          <w:rFonts w:cs="Arial" w:ascii="Arial" w:hAnsi="Arial"/>
          <w:sz w:val="18"/>
          <w:szCs w:val="18"/>
        </w:rPr>
        <w:t xml:space="preserve">La presente offerta è valida fino al </w:t>
      </w:r>
      <w:r>
        <w:rPr>
          <w:rFonts w:cs="Arial" w:ascii="Arial" w:hAnsi="Arial"/>
          <w:sz w:val="18"/>
          <w:szCs w:val="18"/>
        </w:rPr>
        <w:fldChar w:fldCharType="begin"/>
      </w:r>
      <w:r>
        <w:rPr>
          <w:sz w:val="18"/>
          <w:szCs w:val="18"/>
          <w:rFonts w:cs="Arial" w:ascii="Arial" w:hAnsi="Arial"/>
        </w:rPr>
        <w:instrText> MERGEFIELD valid </w:instrText>
      </w:r>
      <w:r>
        <w:rPr>
          <w:sz w:val="18"/>
          <w:szCs w:val="18"/>
          <w:rFonts w:cs="Arial" w:ascii="Arial" w:hAnsi="Arial"/>
        </w:rPr>
        <w:fldChar w:fldCharType="separate"/>
      </w:r>
      <w:r>
        <w:rPr>
          <w:sz w:val="18"/>
          <w:szCs w:val="18"/>
          <w:rFonts w:cs="Arial" w:ascii="Arial" w:hAnsi="Arial"/>
        </w:rPr>
        <w:t>«valid»</w:t>
      </w:r>
      <w:r>
        <w:rPr>
          <w:sz w:val="18"/>
          <w:szCs w:val="18"/>
          <w:rFonts w:cs="Arial" w:ascii="Arial" w:hAnsi="Arial"/>
        </w:rPr>
        <w:fldChar w:fldCharType="end"/>
      </w:r>
      <w:r>
        <w:rPr>
          <w:rFonts w:cs="Arial" w:ascii="Arial" w:hAnsi="Arial"/>
          <w:sz w:val="18"/>
          <w:szCs w:val="18"/>
        </w:rPr>
        <w:t>.</w:t>
      </w:r>
    </w:p>
    <w:p>
      <w:pPr>
        <w:pStyle w:val="Normal"/>
        <w:spacing w:before="0" w:after="0"/>
        <w:jc w:val="both"/>
        <w:rPr>
          <w:rFonts w:ascii="Arial" w:hAnsi="Arial" w:cs="Arial"/>
          <w:sz w:val="18"/>
          <w:szCs w:val="18"/>
          <w:lang w:eastAsia="it-IT"/>
        </w:rPr>
      </w:pPr>
      <w:r>
        <w:rPr>
          <w:rFonts w:cs="Arial" w:ascii="Arial" w:hAnsi="Arial"/>
          <w:sz w:val="18"/>
          <w:szCs w:val="18"/>
        </w:rPr>
        <w:t xml:space="preserve">L'azienda si riserva di verificare l'accettazione ricevuta oltre i termini. </w:t>
      </w:r>
      <w:r>
        <w:rPr>
          <w:rFonts w:cs="Arial" w:ascii="Arial" w:hAnsi="Arial"/>
          <w:sz w:val="18"/>
          <w:szCs w:val="18"/>
          <w:lang w:eastAsia="it-IT"/>
        </w:rPr>
        <w:t>Halley SUD, qualora riscontrasse l’impossibilità di evadere l’ordine nei tempi richiesti dall’Ente, si riserva la facoltà di proporre tempistiche diverse o, in caso di mancato accordo, di non accettare l’ordine pervenuto.</w:t>
      </w:r>
    </w:p>
    <w:p>
      <w:pPr>
        <w:pStyle w:val="ListParagraph"/>
        <w:numPr>
          <w:ilvl w:val="0"/>
          <w:numId w:val="6"/>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false"/>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NORME FINALI</w:t>
      </w:r>
    </w:p>
    <w:p>
      <w:pPr>
        <w:pStyle w:val="Normal"/>
        <w:spacing w:before="0" w:after="0"/>
        <w:jc w:val="both"/>
        <w:rPr>
          <w:rFonts w:ascii="Arial" w:hAnsi="Arial" w:eastAsia="Calibri"/>
          <w:sz w:val="18"/>
          <w:szCs w:val="18"/>
          <w:lang w:eastAsia="it-IT"/>
        </w:rPr>
      </w:pPr>
      <w:r>
        <w:rPr>
          <w:rFonts w:eastAsia="Calibri" w:ascii="Arial" w:hAnsi="Arial"/>
          <w:sz w:val="18"/>
          <w:szCs w:val="18"/>
          <w:lang w:eastAsia="it-IT"/>
        </w:rPr>
        <w:t>Per quanto non espressamente disciplinato nella presente offerta si richiamano le norme del Codice Civile.</w:t>
      </w:r>
    </w:p>
    <w:p>
      <w:pPr>
        <w:pStyle w:val="Normal"/>
        <w:spacing w:lineRule="auto" w:line="240" w:before="0" w:after="0"/>
        <w:rPr>
          <w:rFonts w:ascii="Arial" w:hAnsi="Arial" w:eastAsia="Calibri"/>
          <w:sz w:val="18"/>
          <w:szCs w:val="18"/>
          <w:lang w:eastAsia="it-IT"/>
        </w:rPr>
      </w:pPr>
      <w:r>
        <w:rPr>
          <w:rFonts w:eastAsia="Calibri" w:ascii="Arial" w:hAnsi="Arial"/>
          <w:sz w:val="18"/>
          <w:szCs w:val="18"/>
          <w:lang w:eastAsia="it-IT"/>
        </w:rPr>
      </w:r>
      <w:r>
        <w:br w:type="page"/>
      </w:r>
    </w:p>
    <w:p>
      <w:pPr>
        <w:pStyle w:val="Titolo1"/>
        <w:jc w:val="center"/>
        <w:rPr>
          <w:rFonts w:ascii="Calibri" w:hAnsi="Calibri" w:cs="Calibri" w:asciiTheme="minorHAnsi" w:cstheme="minorHAnsi" w:hAnsiTheme="minorHAnsi"/>
          <w:color w:val="F98F37"/>
          <w:lang w:eastAsia="it-IT"/>
        </w:rPr>
      </w:pPr>
      <w:bookmarkStart w:id="34" w:name="_Toc123217351"/>
      <w:r>
        <w:rPr>
          <w:rFonts w:cs="Calibri" w:ascii="Calibri" w:hAnsi="Calibri" w:asciiTheme="minorHAnsi" w:cstheme="minorHAnsi" w:hAnsiTheme="minorHAnsi"/>
          <w:color w:val="F98F37"/>
          <w:lang w:eastAsia="it-IT"/>
        </w:rPr>
        <w:t>ACCETTAZIONE OFFERTA</w:t>
      </w:r>
      <w:bookmarkEnd w:id="34"/>
    </w:p>
    <w:p>
      <w:pPr>
        <w:pStyle w:val="Normal"/>
        <w:jc w:val="center"/>
        <w:rPr>
          <w:sz w:val="28"/>
          <w:szCs w:val="28"/>
          <w:lang w:eastAsia="it-IT"/>
        </w:rPr>
      </w:pPr>
      <w:r>
        <w:rPr>
          <w:sz w:val="28"/>
          <w:szCs w:val="28"/>
          <w:lang w:eastAsia="it-IT"/>
        </w:rPr>
        <w:t>Servizio di attivazione del sistema “Entra con CIE”</w:t>
      </w:r>
    </w:p>
    <w:p>
      <w:pPr>
        <w:pStyle w:val="Normal"/>
        <w:jc w:val="center"/>
        <w:rPr>
          <w:rFonts w:ascii="Arial" w:hAnsi="Arial" w:cs="Arial"/>
          <w:lang w:eastAsia="it-IT"/>
        </w:rPr>
      </w:pPr>
      <w:r>
        <w:rPr>
          <w:rFonts w:cs="Arial" w:ascii="Arial" w:hAnsi="Arial"/>
          <w:lang w:eastAsia="it-IT"/>
        </w:rPr>
      </w:r>
    </w:p>
    <w:p>
      <w:pPr>
        <w:pStyle w:val="Normal"/>
        <w:jc w:val="center"/>
        <w:rPr>
          <w:rFonts w:ascii="Arial" w:hAnsi="Arial" w:cs="Arial"/>
          <w:sz w:val="28"/>
          <w:szCs w:val="28"/>
          <w:lang w:eastAsia="it-IT"/>
        </w:rPr>
      </w:pPr>
      <w:r>
        <w:rPr>
          <w:rFonts w:cs="Arial" w:ascii="Arial" w:hAnsi="Arial"/>
          <w:sz w:val="28"/>
          <w:szCs w:val="28"/>
          <w:lang w:eastAsia="it-IT"/>
        </w:rPr>
        <w:t xml:space="preserve">Comune di </w:t>
      </w:r>
      <w:r>
        <w:rPr>
          <w:rFonts w:cs="Arial" w:ascii="Arial" w:hAnsi="Arial"/>
          <w:sz w:val="28"/>
          <w:szCs w:val="28"/>
          <w:lang w:eastAsia="it-IT"/>
        </w:rPr>
        <w:fldChar w:fldCharType="begin"/>
      </w:r>
      <w:r>
        <w:rPr>
          <w:sz w:val="28"/>
          <w:szCs w:val="28"/>
          <w:rFonts w:cs="Arial" w:ascii="Arial" w:hAnsi="Arial"/>
          <w:lang w:eastAsia="it-IT"/>
        </w:rPr>
        <w:instrText> MERGEFIELD nome_comune </w:instrText>
      </w:r>
      <w:r>
        <w:rPr>
          <w:sz w:val="28"/>
          <w:szCs w:val="28"/>
          <w:rFonts w:cs="Arial" w:ascii="Arial" w:hAnsi="Arial"/>
          <w:lang w:eastAsia="it-IT"/>
        </w:rPr>
        <w:fldChar w:fldCharType="separate"/>
      </w:r>
      <w:r>
        <w:rPr>
          <w:sz w:val="28"/>
          <w:szCs w:val="28"/>
          <w:rFonts w:cs="Arial" w:ascii="Arial" w:hAnsi="Arial"/>
          <w:lang w:eastAsia="it-IT"/>
        </w:rPr>
        <w:t>«nome_comune»</w:t>
      </w:r>
      <w:r>
        <w:rPr>
          <w:sz w:val="28"/>
          <w:szCs w:val="28"/>
          <w:rFonts w:cs="Arial" w:ascii="Arial" w:hAnsi="Arial"/>
          <w:lang w:eastAsia="it-IT"/>
        </w:rPr>
        <w:fldChar w:fldCharType="end"/>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t xml:space="preserve">Offerta n. MV00 del </w:t>
      </w:r>
      <w:r>
        <w:rPr>
          <w:rFonts w:eastAsia="Arial Unicode MS" w:cs="Arial Unicode MS" w:ascii="Arial" w:hAnsi="Arial"/>
          <w:color w:val="000000"/>
          <w:lang w:eastAsia="it-IT"/>
        </w:rPr>
        <w:fldChar w:fldCharType="begin"/>
      </w:r>
      <w:r>
        <w:rPr>
          <w:rFonts w:eastAsia="Arial Unicode MS" w:cs="Arial Unicode MS" w:ascii="Arial" w:hAnsi="Arial"/>
          <w:color w:val="000000"/>
          <w:lang w:eastAsia="it-IT"/>
        </w:rPr>
        <w:instrText> MERGEFIELD data_proposta </w:instrText>
      </w:r>
      <w:r>
        <w:rPr>
          <w:rFonts w:eastAsia="Arial Unicode MS" w:cs="Arial Unicode MS" w:ascii="Arial" w:hAnsi="Arial"/>
          <w:color w:val="000000"/>
          <w:lang w:eastAsia="it-IT"/>
        </w:rPr>
        <w:fldChar w:fldCharType="separate"/>
      </w:r>
      <w:r>
        <w:rPr>
          <w:rFonts w:eastAsia="Arial Unicode MS" w:cs="Arial Unicode MS" w:ascii="Arial" w:hAnsi="Arial"/>
          <w:color w:val="000000"/>
          <w:lang w:eastAsia="it-IT"/>
        </w:rPr>
        <w:t>«data_proposta»</w:t>
      </w:r>
      <w:r>
        <w:rPr>
          <w:rFonts w:eastAsia="Arial Unicode MS" w:cs="Arial Unicode MS" w:ascii="Arial" w:hAnsi="Arial"/>
          <w:color w:val="000000"/>
          <w:lang w:eastAsia="it-IT"/>
        </w:rPr>
        <w:fldChar w:fldCharType="end"/>
      </w:r>
    </w:p>
    <w:p>
      <w:pPr>
        <w:pStyle w:val="Normal"/>
        <w:rPr>
          <w:lang w:eastAsia="it-IT"/>
        </w:rPr>
      </w:pPr>
      <w:r>
        <w:rPr>
          <w:lang w:eastAsia="it-IT"/>
        </w:rPr>
      </w:r>
    </w:p>
    <w:p>
      <w:pPr>
        <w:pStyle w:val="Normal"/>
        <w:shd w:val="clear" w:color="auto" w:fill="D9D9D9" w:themeFill="background1" w:themeFillShade="d9"/>
        <w:jc w:val="center"/>
        <w:rPr>
          <w:rFonts w:ascii="Arial" w:hAnsi="Arial" w:eastAsia="Calibri"/>
          <w:b/>
          <w:b/>
          <w:bCs/>
          <w:sz w:val="24"/>
          <w:szCs w:val="24"/>
          <w:lang w:eastAsia="it-IT"/>
        </w:rPr>
      </w:pPr>
      <w:r>
        <w:rPr>
          <w:rFonts w:eastAsia="Calibri" w:ascii="Arial" w:hAnsi="Arial"/>
          <w:b/>
          <w:bCs/>
          <w:sz w:val="24"/>
          <w:szCs w:val="24"/>
          <w:lang w:eastAsia="it-IT"/>
        </w:rPr>
        <w:t>Designazione referente del servizio</w:t>
      </w:r>
    </w:p>
    <w:p>
      <w:pPr>
        <w:pStyle w:val="Normal"/>
        <w:spacing w:lineRule="auto" w:line="360" w:before="240" w:after="0"/>
        <w:jc w:val="both"/>
        <w:rPr>
          <w:rFonts w:ascii="Arial" w:hAnsi="Arial" w:cs="Arial"/>
          <w:sz w:val="20"/>
          <w:szCs w:val="20"/>
        </w:rPr>
      </w:pPr>
      <w:r>
        <w:rPr>
          <w:rFonts w:cs="Arial" w:ascii="Arial" w:hAnsi="Arial"/>
          <w:b/>
          <w:sz w:val="20"/>
          <w:szCs w:val="20"/>
        </w:rPr>
        <w:t xml:space="preserve">Referente del servizio all’interno del Comune: </w:t>
      </w:r>
      <w:r>
        <w:rPr>
          <w:rFonts w:cs="Arial" w:ascii="Arial" w:hAnsi="Arial"/>
          <w:sz w:val="20"/>
          <w:szCs w:val="20"/>
        </w:rPr>
        <w:t>____________________________________________________</w:t>
      </w:r>
    </w:p>
    <w:p>
      <w:pPr>
        <w:pStyle w:val="Normal"/>
        <w:spacing w:lineRule="auto" w:line="360" w:before="240" w:after="0"/>
        <w:jc w:val="both"/>
        <w:rPr>
          <w:rFonts w:ascii="Arial" w:hAnsi="Arial" w:cs="Arial"/>
          <w:b/>
          <w:b/>
          <w:color w:val="009739"/>
          <w:sz w:val="4"/>
          <w:szCs w:val="4"/>
        </w:rPr>
      </w:pPr>
      <w:r>
        <w:rPr>
          <w:rFonts w:cs="Arial" w:ascii="Arial" w:hAnsi="Arial"/>
          <w:b/>
          <w:color w:val="009739"/>
          <w:sz w:val="4"/>
          <w:szCs w:val="4"/>
        </w:rPr>
      </w:r>
    </w:p>
    <w:p>
      <w:pPr>
        <w:pStyle w:val="Normal"/>
        <w:spacing w:lineRule="auto" w:line="360" w:before="0" w:after="0"/>
        <w:jc w:val="both"/>
        <w:rPr>
          <w:rFonts w:ascii="Arial" w:hAnsi="Arial" w:cs="Arial"/>
          <w:sz w:val="20"/>
          <w:szCs w:val="20"/>
        </w:rPr>
      </w:pPr>
      <w:r>
        <w:rPr>
          <w:rFonts w:cs="Arial" w:ascii="Arial" w:hAnsi="Arial"/>
          <w:b/>
          <w:sz w:val="20"/>
          <w:szCs w:val="20"/>
        </w:rPr>
        <w:t xml:space="preserve">Ruolo del referente del servizio: </w:t>
      </w:r>
      <w:r>
        <w:rPr>
          <w:rFonts w:cs="Arial" w:ascii="Arial" w:hAnsi="Arial"/>
          <w:sz w:val="20"/>
          <w:szCs w:val="20"/>
        </w:rPr>
        <w:t>________________________________________________________________</w:t>
      </w:r>
    </w:p>
    <w:p>
      <w:pPr>
        <w:pStyle w:val="Normal"/>
        <w:spacing w:lineRule="auto" w:line="360" w:before="0" w:after="0"/>
        <w:jc w:val="both"/>
        <w:rPr>
          <w:rFonts w:ascii="Arial" w:hAnsi="Arial" w:cs="Arial"/>
          <w:sz w:val="16"/>
          <w:szCs w:val="16"/>
        </w:rPr>
      </w:pPr>
      <w:r>
        <w:rPr>
          <w:rFonts w:cs="Arial" w:ascii="Arial" w:hAnsi="Arial"/>
          <w:sz w:val="16"/>
          <w:szCs w:val="16"/>
        </w:rPr>
      </w:r>
    </w:p>
    <w:p>
      <w:pPr>
        <w:pStyle w:val="Normal"/>
        <w:spacing w:lineRule="auto" w:line="360" w:before="0" w:after="0"/>
        <w:jc w:val="both"/>
        <w:rPr>
          <w:rFonts w:ascii="Arial" w:hAnsi="Arial" w:cs="Arial"/>
          <w:sz w:val="20"/>
          <w:szCs w:val="20"/>
        </w:rPr>
      </w:pPr>
      <w:r>
        <w:rPr>
          <w:rFonts w:cs="Arial" w:ascii="Arial" w:hAnsi="Arial"/>
          <w:b/>
          <w:sz w:val="20"/>
          <w:szCs w:val="20"/>
        </w:rPr>
        <w:t>Recapito telefonico:</w:t>
      </w:r>
      <w:r>
        <w:rPr>
          <w:rFonts w:cs="Arial" w:ascii="Arial" w:hAnsi="Arial"/>
          <w:sz w:val="20"/>
          <w:szCs w:val="20"/>
        </w:rPr>
        <w:t xml:space="preserve"> __________________________________________________________________________</w:t>
      </w:r>
    </w:p>
    <w:p>
      <w:pPr>
        <w:pStyle w:val="Normal"/>
        <w:spacing w:lineRule="auto" w:line="360" w:before="0" w:after="0"/>
        <w:jc w:val="both"/>
        <w:rPr>
          <w:rFonts w:ascii="Arial" w:hAnsi="Arial" w:cs="Arial"/>
          <w:b/>
          <w:b/>
          <w:sz w:val="18"/>
          <w:szCs w:val="18"/>
        </w:rPr>
      </w:pPr>
      <w:r>
        <w:rPr>
          <w:rFonts w:cs="Arial" w:ascii="Arial" w:hAnsi="Arial"/>
          <w:b/>
          <w:sz w:val="18"/>
          <w:szCs w:val="18"/>
        </w:rPr>
      </w:r>
    </w:p>
    <w:p>
      <w:pPr>
        <w:pStyle w:val="Normal"/>
        <w:tabs>
          <w:tab w:val="clear" w:pos="708"/>
          <w:tab w:val="left" w:pos="-1440" w:leader="none"/>
          <w:tab w:val="left" w:pos="-720" w:leader="none"/>
          <w:tab w:val="left" w:pos="0" w:leader="none"/>
          <w:tab w:val="left" w:pos="288" w:leader="none"/>
          <w:tab w:val="left" w:pos="576" w:leader="none"/>
          <w:tab w:val="left" w:pos="864" w:leader="none"/>
        </w:tabs>
        <w:spacing w:lineRule="auto" w:line="360" w:before="0" w:after="0"/>
        <w:jc w:val="both"/>
        <w:rPr>
          <w:rFonts w:ascii="Arial" w:hAnsi="Arial" w:cs="Arial"/>
          <w:sz w:val="20"/>
          <w:szCs w:val="20"/>
        </w:rPr>
      </w:pPr>
      <w:r>
        <w:rPr>
          <w:rFonts w:cs="Arial" w:ascii="Arial" w:hAnsi="Arial"/>
          <w:b/>
          <w:sz w:val="20"/>
          <w:szCs w:val="20"/>
        </w:rPr>
        <w:t>Indirizzo Email:</w:t>
      </w:r>
      <w:r>
        <w:rPr>
          <w:rFonts w:cs="Arial" w:ascii="Arial" w:hAnsi="Arial"/>
          <w:sz w:val="20"/>
          <w:szCs w:val="20"/>
        </w:rPr>
        <w:t xml:space="preserve"> ______________________________________________________________________________</w:t>
      </w:r>
    </w:p>
    <w:p>
      <w:pPr>
        <w:pStyle w:val="Normal"/>
        <w:tabs>
          <w:tab w:val="clear" w:pos="708"/>
          <w:tab w:val="left" w:pos="-1440" w:leader="none"/>
          <w:tab w:val="left" w:pos="-720" w:leader="none"/>
          <w:tab w:val="left" w:pos="0" w:leader="none"/>
          <w:tab w:val="left" w:pos="288" w:leader="none"/>
          <w:tab w:val="left" w:pos="576" w:leader="none"/>
          <w:tab w:val="left" w:pos="864" w:leader="none"/>
        </w:tabs>
        <w:spacing w:lineRule="auto" w:line="360" w:before="0" w:after="0"/>
        <w:jc w:val="both"/>
        <w:rPr>
          <w:rFonts w:ascii="Arial" w:hAnsi="Arial" w:cs="Arial"/>
          <w:sz w:val="20"/>
          <w:szCs w:val="20"/>
        </w:rPr>
      </w:pPr>
      <w:r>
        <w:rPr>
          <w:rFonts w:cs="Arial" w:ascii="Arial" w:hAnsi="Arial"/>
          <w:sz w:val="20"/>
          <w:szCs w:val="20"/>
        </w:rPr>
      </w:r>
    </w:p>
    <w:p>
      <w:pPr>
        <w:pStyle w:val="Normal"/>
        <w:shd w:val="clear" w:color="auto" w:fill="D9D9D9" w:themeFill="background1" w:themeFillShade="d9"/>
        <w:jc w:val="center"/>
        <w:rPr>
          <w:rFonts w:ascii="Arial" w:hAnsi="Arial" w:eastAsia="Calibri"/>
          <w:b/>
          <w:b/>
          <w:bCs/>
          <w:sz w:val="24"/>
          <w:szCs w:val="24"/>
          <w:lang w:eastAsia="it-IT"/>
        </w:rPr>
      </w:pPr>
      <w:r>
        <w:rPr>
          <w:rFonts w:eastAsia="Calibri" w:ascii="Arial" w:hAnsi="Arial"/>
          <w:b/>
          <w:bCs/>
          <w:sz w:val="24"/>
          <w:szCs w:val="24"/>
          <w:lang w:eastAsia="it-IT"/>
        </w:rPr>
        <w:t>Estremi di fatturazione</w:t>
      </w:r>
    </w:p>
    <w:p>
      <w:pPr>
        <w:pStyle w:val="Normal"/>
        <w:spacing w:lineRule="auto" w:line="360" w:before="240" w:after="0"/>
        <w:jc w:val="both"/>
        <w:rPr>
          <w:rFonts w:ascii="Arial" w:hAnsi="Arial" w:cs="Arial"/>
          <w:bCs/>
          <w:sz w:val="20"/>
          <w:szCs w:val="20"/>
        </w:rPr>
      </w:pPr>
      <w:r>
        <w:rPr>
          <w:rFonts w:cs="Arial" w:ascii="Arial" w:hAnsi="Arial"/>
          <w:b/>
          <w:sz w:val="20"/>
          <w:szCs w:val="20"/>
        </w:rPr>
        <w:t xml:space="preserve">Responsabile ordine dell’Ente: </w:t>
      </w:r>
      <w:r>
        <w:rPr>
          <w:rFonts w:cs="Arial" w:ascii="Arial" w:hAnsi="Arial"/>
          <w:bCs/>
          <w:sz w:val="20"/>
          <w:szCs w:val="20"/>
        </w:rPr>
        <w:t>_________________________________________________________________</w:t>
      </w:r>
    </w:p>
    <w:p>
      <w:pPr>
        <w:pStyle w:val="Normal"/>
        <w:spacing w:lineRule="auto" w:line="360" w:before="240" w:after="0"/>
        <w:jc w:val="both"/>
        <w:rPr>
          <w:rFonts w:ascii="Arial" w:hAnsi="Arial" w:cs="Arial"/>
          <w:b/>
          <w:b/>
          <w:sz w:val="20"/>
          <w:szCs w:val="20"/>
        </w:rPr>
      </w:pPr>
      <w:r>
        <w:rPr>
          <w:rFonts w:cs="Arial" w:ascii="Arial" w:hAnsi="Arial"/>
          <w:b/>
          <w:sz w:val="20"/>
          <w:szCs w:val="20"/>
        </w:rPr>
        <w:t xml:space="preserve">Codice univoco: </w:t>
      </w:r>
      <w:r>
        <w:rPr>
          <w:rFonts w:cs="Arial" w:ascii="Arial" w:hAnsi="Arial"/>
          <w:bCs/>
          <w:sz w:val="20"/>
          <w:szCs w:val="20"/>
        </w:rPr>
        <w:t>_____________________</w:t>
      </w:r>
      <w:r>
        <w:rPr>
          <w:rFonts w:cs="Arial" w:ascii="Arial" w:hAnsi="Arial"/>
          <w:b/>
          <w:sz w:val="20"/>
          <w:szCs w:val="20"/>
        </w:rPr>
        <w:t xml:space="preserve"> CIG: </w:t>
      </w:r>
      <w:r>
        <w:rPr>
          <w:rFonts w:cs="Arial" w:ascii="Arial" w:hAnsi="Arial"/>
          <w:bCs/>
          <w:sz w:val="20"/>
          <w:szCs w:val="20"/>
        </w:rPr>
        <w:t>___________________________________________________</w:t>
      </w:r>
    </w:p>
    <w:p>
      <w:pPr>
        <w:pStyle w:val="Normal"/>
        <w:spacing w:lineRule="auto" w:line="360" w:before="240" w:after="0"/>
        <w:jc w:val="both"/>
        <w:rPr>
          <w:rFonts w:ascii="Arial" w:hAnsi="Arial" w:cs="Arial"/>
          <w:b/>
          <w:b/>
          <w:sz w:val="20"/>
          <w:szCs w:val="20"/>
        </w:rPr>
      </w:pPr>
      <w:r>
        <w:rPr>
          <w:rFonts w:cs="Arial" w:ascii="Arial" w:hAnsi="Arial"/>
          <w:b/>
          <w:sz w:val="20"/>
          <w:szCs w:val="20"/>
        </w:rPr>
        <w:t xml:space="preserve">Determina nr. (allegare copia): </w:t>
      </w:r>
      <w:r>
        <w:rPr>
          <w:rFonts w:cs="Arial" w:ascii="Arial" w:hAnsi="Arial"/>
          <w:bCs/>
          <w:sz w:val="20"/>
          <w:szCs w:val="20"/>
        </w:rPr>
        <w:t>_____________________________</w:t>
      </w:r>
      <w:r>
        <w:rPr>
          <w:rFonts w:cs="Arial" w:ascii="Arial" w:hAnsi="Arial"/>
          <w:b/>
          <w:sz w:val="20"/>
          <w:szCs w:val="20"/>
        </w:rPr>
        <w:t xml:space="preserve"> del: </w:t>
      </w:r>
      <w:r>
        <w:rPr>
          <w:rFonts w:cs="Arial" w:ascii="Arial" w:hAnsi="Arial"/>
          <w:bCs/>
          <w:sz w:val="20"/>
          <w:szCs w:val="20"/>
        </w:rPr>
        <w:t>________________________________</w:t>
      </w:r>
    </w:p>
    <w:p>
      <w:pPr>
        <w:pStyle w:val="Normal"/>
        <w:spacing w:lineRule="auto" w:line="360" w:before="240" w:after="0"/>
        <w:jc w:val="both"/>
        <w:rPr>
          <w:rFonts w:ascii="Arial" w:hAnsi="Arial" w:cs="Arial"/>
          <w:b/>
          <w:b/>
          <w:sz w:val="20"/>
          <w:szCs w:val="20"/>
        </w:rPr>
      </w:pPr>
      <w:r>
        <w:rPr>
          <w:rFonts w:cs="Arial" w:ascii="Arial" w:hAnsi="Arial"/>
          <w:b/>
          <w:sz w:val="20"/>
          <w:szCs w:val="20"/>
        </w:rPr>
        <w:t xml:space="preserve">Impegno di spesa: </w:t>
      </w:r>
      <w:r>
        <w:rPr>
          <w:rFonts w:cs="Arial" w:ascii="Arial" w:hAnsi="Arial"/>
          <w:bCs/>
          <w:sz w:val="20"/>
          <w:szCs w:val="20"/>
        </w:rPr>
        <w:t>_______________________</w:t>
      </w:r>
      <w:r>
        <w:rPr>
          <w:rFonts w:cs="Arial" w:ascii="Arial" w:hAnsi="Arial"/>
          <w:b/>
          <w:sz w:val="20"/>
          <w:szCs w:val="20"/>
        </w:rPr>
        <w:t xml:space="preserve"> del: </w:t>
      </w:r>
      <w:r>
        <w:rPr>
          <w:rFonts w:cs="Arial" w:ascii="Arial" w:hAnsi="Arial"/>
          <w:bCs/>
          <w:sz w:val="20"/>
          <w:szCs w:val="20"/>
        </w:rPr>
        <w:t>_______________</w:t>
      </w:r>
      <w:r>
        <w:rPr>
          <w:rFonts w:cs="Arial" w:ascii="Arial" w:hAnsi="Arial"/>
          <w:b/>
          <w:sz w:val="20"/>
          <w:szCs w:val="20"/>
        </w:rPr>
        <w:t xml:space="preserve"> capitolo: </w:t>
      </w:r>
      <w:r>
        <w:rPr>
          <w:rFonts w:cs="Arial" w:ascii="Arial" w:hAnsi="Arial"/>
          <w:bCs/>
          <w:sz w:val="20"/>
          <w:szCs w:val="20"/>
        </w:rPr>
        <w:t>_________________________</w:t>
      </w:r>
      <w:bookmarkStart w:id="35" w:name="_Hlk67576961"/>
      <w:bookmarkEnd w:id="35"/>
    </w:p>
    <w:p>
      <w:pPr>
        <w:pStyle w:val="Normal"/>
        <w:jc w:val="both"/>
        <w:rPr>
          <w:rFonts w:ascii="Arial" w:hAnsi="Arial" w:eastAsia="Calibri"/>
          <w:sz w:val="24"/>
          <w:szCs w:val="24"/>
          <w:lang w:eastAsia="it-IT"/>
        </w:rPr>
      </w:pPr>
      <w:r>
        <w:rPr>
          <w:rFonts w:eastAsia="Calibri" w:ascii="Arial" w:hAnsi="Arial"/>
          <w:sz w:val="24"/>
          <w:szCs w:val="24"/>
          <w:lang w:eastAsia="it-IT"/>
        </w:rPr>
      </w:r>
    </w:p>
    <w:p>
      <w:pPr>
        <w:pStyle w:val="Normal"/>
        <w:jc w:val="both"/>
        <w:rPr>
          <w:rFonts w:ascii="Arial" w:hAnsi="Arial" w:eastAsia="Calibri"/>
          <w:sz w:val="24"/>
          <w:szCs w:val="24"/>
          <w:lang w:eastAsia="it-IT"/>
        </w:rPr>
      </w:pPr>
      <w:r>
        <w:rPr>
          <w:rFonts w:eastAsia="Calibri" w:ascii="Arial" w:hAnsi="Arial"/>
          <w:sz w:val="24"/>
          <w:szCs w:val="24"/>
          <w:lang w:eastAsia="it-IT"/>
        </w:rPr>
      </w:r>
    </w:p>
    <w:p>
      <w:pPr>
        <w:pStyle w:val="Normal"/>
        <w:spacing w:before="0" w:after="160"/>
        <w:contextualSpacing/>
        <w:jc w:val="both"/>
        <w:rPr>
          <w:rFonts w:ascii="Arial" w:hAnsi="Arial" w:cs="Arial"/>
          <w:sz w:val="20"/>
          <w:szCs w:val="20"/>
          <w:lang w:eastAsia="it-IT"/>
        </w:rPr>
      </w:pPr>
      <w:r>
        <w:rPr>
          <w:rFonts w:cs="Arial" w:ascii="Arial" w:hAnsi="Arial"/>
          <w:sz w:val="20"/>
          <w:szCs w:val="20"/>
          <w:lang w:eastAsia="it-IT"/>
        </w:rPr>
        <w:t>Data __________________                   Firma del referente _______________________________________</w:t>
      </w:r>
    </w:p>
    <w:p>
      <w:pPr>
        <w:pStyle w:val="Normal"/>
        <w:jc w:val="center"/>
        <w:rPr>
          <w:rFonts w:ascii="Arial" w:hAnsi="Arial" w:cs="Arial"/>
          <w:lang w:eastAsia="it-IT"/>
        </w:rPr>
      </w:pPr>
      <w:r>
        <w:rPr>
          <w:rFonts w:cs="Arial" w:ascii="Arial" w:hAnsi="Arial"/>
          <w:lang w:eastAsia="it-IT"/>
        </w:rPr>
      </w:r>
    </w:p>
    <w:p>
      <w:pPr>
        <w:pStyle w:val="Normal"/>
        <w:jc w:val="center"/>
        <w:rPr>
          <w:rFonts w:ascii="Arial" w:hAnsi="Arial" w:cs="Arial"/>
          <w:lang w:eastAsia="it-IT"/>
        </w:rPr>
      </w:pPr>
      <w:r>
        <w:rPr>
          <w:rFonts w:cs="Arial" w:ascii="Arial" w:hAnsi="Arial"/>
          <w:lang w:eastAsia="it-IT"/>
        </w:rPr>
      </w:r>
    </w:p>
    <w:p>
      <w:pPr>
        <w:pStyle w:val="Normal"/>
        <w:jc w:val="center"/>
        <w:rPr>
          <w:rFonts w:ascii="Arial" w:hAnsi="Arial" w:cs="Arial"/>
          <w:lang w:eastAsia="it-IT"/>
        </w:rPr>
      </w:pPr>
      <w:r>
        <w:rPr>
          <w:rFonts w:cs="Arial" w:ascii="Arial" w:hAnsi="Arial"/>
          <w:lang w:eastAsia="it-IT"/>
        </w:rPr>
      </w:r>
    </w:p>
    <w:p>
      <w:pPr>
        <w:pStyle w:val="Normal"/>
        <w:spacing w:lineRule="auto" w:line="240" w:before="0" w:after="0"/>
        <w:jc w:val="both"/>
        <w:rPr>
          <w:rFonts w:ascii="Arial" w:hAnsi="Arial" w:cs="Arial"/>
          <w:b/>
          <w:b/>
          <w:iCs/>
        </w:rPr>
      </w:pPr>
      <w:r>
        <w:rPr>
          <w:rFonts w:cs="Arial" w:ascii="Arial" w:hAnsi="Arial"/>
          <w:iCs/>
        </w:rPr>
        <w:t xml:space="preserve">Da sottoscrivere ed inviare all’attenzione della Segreteria Vendite </w:t>
      </w:r>
      <w:r>
        <w:rPr>
          <w:rFonts w:cs="Arial" w:ascii="Arial" w:hAnsi="Arial"/>
          <w:bCs/>
          <w:iCs/>
        </w:rPr>
        <w:t xml:space="preserve">e-mail: </w:t>
      </w:r>
      <w:hyperlink r:id="rId4">
        <w:r>
          <w:rPr>
            <w:rStyle w:val="CollegamentoInternet"/>
            <w:rFonts w:cs="Arial" w:ascii="Arial" w:hAnsi="Arial"/>
            <w:bCs/>
            <w:iCs/>
          </w:rPr>
          <w:t>pnrr@halleysud.it</w:t>
        </w:r>
      </w:hyperlink>
    </w:p>
    <w:p>
      <w:pPr>
        <w:pStyle w:val="Normal"/>
        <w:spacing w:before="0" w:after="160"/>
        <w:jc w:val="both"/>
        <w:rPr>
          <w:rFonts w:ascii="Arial" w:hAnsi="Arial" w:cs="Arial"/>
          <w:lang w:eastAsia="it-IT"/>
        </w:rPr>
      </w:pPr>
      <w:r>
        <w:rPr/>
      </w:r>
    </w:p>
    <w:sectPr>
      <w:headerReference w:type="default" r:id="rId5"/>
      <w:headerReference w:type="first" r:id="rId6"/>
      <w:footerReference w:type="default" r:id="rId7"/>
      <w:footerReference w:type="first" r:id="rId8"/>
      <w:type w:val="nextPage"/>
      <w:pgSz w:w="11906" w:h="16838"/>
      <w:pgMar w:left="851" w:right="851" w:header="567" w:top="1418" w:footer="709" w:bottom="1134" w:gutter="0"/>
      <w:pgNumType w:start="0"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pPr w:vertAnchor="page" w:tblpYSpec="bottom" w:horzAnchor="margin" w:tblpXSpec="center" w:leftFromText="187" w:rightFromText="187"/>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8164"/>
      <w:gridCol w:w="2039"/>
    </w:tblGrid>
    <w:tr>
      <w:trPr>
        <w:trHeight w:val="727" w:hRule="atLeast"/>
      </w:trPr>
      <w:tc>
        <w:tcPr>
          <w:tcW w:w="8164" w:type="dxa"/>
          <w:tcBorders>
            <w:right w:val="single" w:sz="24" w:space="0" w:color="F98F37"/>
          </w:tcBorders>
        </w:tcPr>
        <w:p>
          <w:pPr>
            <w:pStyle w:val="Normal"/>
            <w:widowControl w:val="false"/>
            <w:tabs>
              <w:tab w:val="clear" w:pos="708"/>
              <w:tab w:val="left" w:pos="620" w:leader="none"/>
              <w:tab w:val="center" w:pos="4320" w:leader="none"/>
            </w:tabs>
            <w:spacing w:before="0" w:after="160"/>
            <w:jc w:val="right"/>
            <w:rPr>
              <w:rFonts w:ascii="Calibri Light" w:hAnsi="Calibri Light" w:eastAsia="Arial" w:cs="Arial" w:asciiTheme="majorHAnsi" w:cstheme="majorBidi" w:eastAsiaTheme="majorEastAsia" w:hAnsiTheme="majorHAnsi"/>
              <w:sz w:val="20"/>
              <w:szCs w:val="20"/>
            </w:rPr>
          </w:pPr>
          <w:r>
            <w:rPr/>
            <w:drawing>
              <wp:inline distT="0" distB="0" distL="0" distR="0">
                <wp:extent cx="13776960" cy="71755"/>
                <wp:effectExtent l="0" t="0" r="0" b="0"/>
                <wp:docPr id="10" name="Immagin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6" descr=""/>
                        <pic:cNvPicPr>
                          <a:picLocks noChangeAspect="1" noChangeArrowheads="1"/>
                        </pic:cNvPicPr>
                      </pic:nvPicPr>
                      <pic:blipFill>
                        <a:blip r:embed="rId1"/>
                        <a:stretch>
                          <a:fillRect/>
                        </a:stretch>
                      </pic:blipFill>
                      <pic:spPr bwMode="auto">
                        <a:xfrm>
                          <a:off x="0" y="0"/>
                          <a:ext cx="13776960" cy="71755"/>
                        </a:xfrm>
                        <a:prstGeom prst="rect">
                          <a:avLst/>
                        </a:prstGeom>
                      </pic:spPr>
                    </pic:pic>
                  </a:graphicData>
                </a:graphic>
              </wp:inline>
            </w:drawing>
          </w:r>
        </w:p>
      </w:tc>
      <w:tc>
        <w:tcPr>
          <w:tcW w:w="2039" w:type="dxa"/>
          <w:tcBorders>
            <w:left w:val="single" w:sz="24" w:space="0" w:color="F98F37"/>
          </w:tcBorders>
        </w:tcPr>
        <w:p>
          <w:pPr>
            <w:pStyle w:val="Normal"/>
            <w:widowControl w:val="false"/>
            <w:tabs>
              <w:tab w:val="clear" w:pos="708"/>
              <w:tab w:val="left" w:pos="1490" w:leader="none"/>
            </w:tabs>
            <w:spacing w:before="0" w:after="160"/>
            <w:rPr>
              <w:rFonts w:ascii="Calibri Light" w:hAnsi="Calibri Light" w:eastAsia="Arial" w:cs="Arial" w:asciiTheme="majorHAnsi" w:cstheme="majorBidi" w:eastAsiaTheme="majorEastAsia" w:hAnsiTheme="majorHAnsi"/>
              <w:sz w:val="28"/>
              <w:szCs w:val="28"/>
            </w:rPr>
          </w:pPr>
          <w:r>
            <w:rPr/>
            <w:fldChar w:fldCharType="begin"/>
          </w:r>
          <w:r>
            <w:rPr/>
            <w:instrText> PAGE </w:instrText>
          </w:r>
          <w:r>
            <w:rPr/>
            <w:fldChar w:fldCharType="separate"/>
          </w:r>
          <w:r>
            <w:rPr/>
            <w:t>11</w:t>
          </w:r>
          <w:r>
            <w:rPr/>
            <w:fldChar w:fldCharType="end"/>
          </w:r>
        </w:p>
      </w:tc>
    </w:tr>
  </w:tbl>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drawing>
        <wp:inline distT="0" distB="0" distL="0" distR="0">
          <wp:extent cx="13776960" cy="71755"/>
          <wp:effectExtent l="0" t="0" r="0" b="0"/>
          <wp:docPr id="11" name="Immagine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66" descr=""/>
                  <pic:cNvPicPr>
                    <a:picLocks noChangeAspect="1" noChangeArrowheads="1"/>
                  </pic:cNvPicPr>
                </pic:nvPicPr>
                <pic:blipFill>
                  <a:blip r:embed="rId1"/>
                  <a:stretch>
                    <a:fillRect/>
                  </a:stretch>
                </pic:blipFill>
                <pic:spPr bwMode="auto">
                  <a:xfrm>
                    <a:off x="0" y="0"/>
                    <a:ext cx="13776960" cy="7175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b/>
        <w:b/>
        <w:bCs/>
      </w:rPr>
    </w:pPr>
    <w:r>
      <w:rPr>
        <w:b/>
        <w:bCs/>
      </w:rPr>
    </w:r>
  </w:p>
  <w:p>
    <w:pPr>
      <w:pStyle w:val="Intestazione"/>
      <w:jc w:val="right"/>
      <w:rPr>
        <w:b/>
        <w:b/>
        <w:bCs/>
        <w:lang w:val="en-US"/>
      </w:rPr>
    </w:pPr>
    <w:r>
      <w:rPr>
        <w:b/>
        <w:bCs/>
        <w:lang w:val="en-US"/>
      </w:rPr>
      <w:t>HALLEY SUD S.r.l.</w:t>
    </w:r>
  </w:p>
  <w:p>
    <w:pPr>
      <w:pStyle w:val="Intestazione"/>
      <w:rPr>
        <w:b/>
        <w:b/>
        <w:bCs/>
        <w:lang w:val="en-US"/>
      </w:rPr>
    </w:pPr>
    <w:r>
      <w:rPr>
        <w:b/>
        <w:bCs/>
        <w:lang w:val="en-US"/>
      </w:rPr>
    </w:r>
  </w:p>
  <w:p>
    <w:pPr>
      <w:pStyle w:val="Intestazione"/>
      <w:rPr>
        <w:b/>
        <w:b/>
        <w:bCs/>
        <w:lang w:val="en-US"/>
      </w:rPr>
    </w:pPr>
    <w:r>
      <w:rPr>
        <w:b/>
        <w:bCs/>
        <w:lang w:val="en-US"/>
      </w:rPr>
    </w:r>
  </w:p>
  <w:p>
    <w:pPr>
      <w:pStyle w:val="Intestazione"/>
      <w:rPr>
        <w:b/>
        <w:b/>
        <w:bCs/>
      </w:rPr>
    </w:pPr>
    <w:r>
      <w:rPr/>
      <w:drawing>
        <wp:inline distT="0" distB="0" distL="0" distR="0">
          <wp:extent cx="13776960" cy="71755"/>
          <wp:effectExtent l="0" t="0" r="0" b="0"/>
          <wp:docPr id="6" name="Immagine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2" descr=""/>
                  <pic:cNvPicPr>
                    <a:picLocks noChangeAspect="1" noChangeArrowheads="1"/>
                  </pic:cNvPicPr>
                </pic:nvPicPr>
                <pic:blipFill>
                  <a:blip r:embed="rId1"/>
                  <a:stretch>
                    <a:fillRect/>
                  </a:stretch>
                </pic:blipFill>
                <pic:spPr bwMode="auto">
                  <a:xfrm>
                    <a:off x="0" y="0"/>
                    <a:ext cx="13776960" cy="71755"/>
                  </a:xfrm>
                  <a:prstGeom prst="rect">
                    <a:avLst/>
                  </a:prstGeom>
                </pic:spPr>
              </pic:pic>
            </a:graphicData>
          </a:graphic>
        </wp:inline>
      </w:drawing>
    </w:r>
  </w:p>
  <w:p>
    <w:pPr>
      <w:pStyle w:val="Intestazione"/>
      <w:rPr>
        <w:b/>
        <w:b/>
        <w:bCs/>
      </w:rPr>
    </w:pPr>
    <w:r>
      <w:rPr>
        <w:b/>
        <w:bCs/>
      </w:rPr>
    </w:r>
  </w:p>
  <w:p>
    <w:pPr>
      <w:pStyle w:val="Intestazione"/>
      <w:rPr>
        <w:b/>
        <w:b/>
        <w:bCs/>
      </w:rPr>
    </w:pPr>
    <w:r>
      <w:rPr>
        <w:b/>
        <w:bCs/>
      </w:rPr>
      <w:drawing>
        <wp:anchor behindDoc="1" distT="0" distB="0" distL="114300" distR="114300" simplePos="0" locked="0" layoutInCell="0" allowOverlap="1" relativeHeight="25">
          <wp:simplePos x="0" y="0"/>
          <wp:positionH relativeFrom="column">
            <wp:posOffset>1270</wp:posOffset>
          </wp:positionH>
          <wp:positionV relativeFrom="page">
            <wp:posOffset>360680</wp:posOffset>
          </wp:positionV>
          <wp:extent cx="1345565" cy="539750"/>
          <wp:effectExtent l="0" t="0" r="0" b="0"/>
          <wp:wrapSquare wrapText="bothSides"/>
          <wp:docPr id="7" name="Immagine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3" descr=""/>
                  <pic:cNvPicPr>
                    <a:picLocks noChangeAspect="1" noChangeArrowheads="1"/>
                  </pic:cNvPicPr>
                </pic:nvPicPr>
                <pic:blipFill>
                  <a:blip r:embed="rId2"/>
                  <a:stretch>
                    <a:fillRect/>
                  </a:stretch>
                </pic:blipFill>
                <pic:spPr bwMode="auto">
                  <a:xfrm>
                    <a:off x="0" y="0"/>
                    <a:ext cx="1345565" cy="53975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b/>
        <w:b/>
        <w:bCs/>
      </w:rPr>
    </w:pPr>
    <w:r>
      <w:rPr>
        <w:b/>
        <w:bCs/>
      </w:rPr>
    </w:r>
  </w:p>
  <w:tbl>
    <w:tblPr>
      <w:tblStyle w:val="Grigliatabella"/>
      <w:tblW w:w="5104"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693"/>
      <w:gridCol w:w="2410"/>
    </w:tblGrid>
    <w:tr>
      <w:trPr/>
      <w:tc>
        <w:tcPr>
          <w:tcW w:w="2693" w:type="dxa"/>
          <w:tcBorders>
            <w:top w:val="nil"/>
            <w:left w:val="nil"/>
            <w:bottom w:val="nil"/>
          </w:tcBorders>
        </w:tcPr>
        <w:p>
          <w:pPr>
            <w:pStyle w:val="Intestazione"/>
            <w:widowControl/>
            <w:suppressAutoHyphens w:val="true"/>
            <w:spacing w:before="0" w:after="0"/>
            <w:jc w:val="left"/>
            <w:rPr>
              <w:b/>
              <w:b/>
              <w:bCs/>
              <w:sz w:val="20"/>
              <w:szCs w:val="20"/>
              <w:lang w:val="en-US"/>
            </w:rPr>
          </w:pPr>
          <w:r>
            <w:rPr>
              <w:rFonts w:eastAsia="Calibri" w:cs="Arial"/>
              <w:b/>
              <w:bCs/>
              <w:kern w:val="0"/>
              <w:sz w:val="20"/>
              <w:szCs w:val="20"/>
              <w:lang w:val="en-US" w:eastAsia="en-US" w:bidi="ar-SA"/>
            </w:rPr>
            <w:t>HALLEY SUD S.r.l.</w:t>
          </w:r>
        </w:p>
        <w:p>
          <w:pPr>
            <w:pStyle w:val="Intestazione"/>
            <w:widowControl/>
            <w:suppressAutoHyphens w:val="true"/>
            <w:spacing w:before="0" w:after="0"/>
            <w:jc w:val="left"/>
            <w:rPr>
              <w:sz w:val="14"/>
              <w:szCs w:val="14"/>
            </w:rPr>
          </w:pPr>
          <w:r>
            <w:rPr>
              <w:rFonts w:eastAsia="Calibri" w:cs="Arial"/>
              <w:kern w:val="0"/>
              <w:sz w:val="14"/>
              <w:szCs w:val="14"/>
              <w:lang w:val="it-IT" w:eastAsia="en-US" w:bidi="ar-SA"/>
            </w:rPr>
            <w:t>c/o Consorzio Etna Hitech</w:t>
          </w:r>
        </w:p>
        <w:p>
          <w:pPr>
            <w:pStyle w:val="Intestazione"/>
            <w:widowControl/>
            <w:suppressAutoHyphens w:val="true"/>
            <w:spacing w:before="0" w:after="0"/>
            <w:jc w:val="left"/>
            <w:rPr>
              <w:sz w:val="14"/>
              <w:szCs w:val="14"/>
            </w:rPr>
          </w:pPr>
          <w:r>
            <w:rPr>
              <w:rFonts w:eastAsia="Calibri" w:cs="Arial"/>
              <w:kern w:val="0"/>
              <w:sz w:val="14"/>
              <w:szCs w:val="14"/>
              <w:lang w:val="it-IT" w:eastAsia="en-US" w:bidi="ar-SA"/>
            </w:rPr>
            <w:t>Viale Africa 31, 95129 – Catania (CT)</w:t>
          </w:r>
        </w:p>
        <w:p>
          <w:pPr>
            <w:pStyle w:val="Intestazione"/>
            <w:widowControl/>
            <w:suppressAutoHyphens w:val="true"/>
            <w:spacing w:before="0" w:after="0"/>
            <w:jc w:val="left"/>
            <w:rPr>
              <w:sz w:val="14"/>
              <w:szCs w:val="14"/>
              <w:lang w:val="en-US"/>
            </w:rPr>
          </w:pPr>
          <w:r>
            <w:rPr>
              <w:rFonts w:eastAsia="Calibri" w:cs="Arial"/>
              <w:kern w:val="0"/>
              <w:sz w:val="14"/>
              <w:szCs w:val="14"/>
              <w:lang w:val="en-US" w:eastAsia="en-US" w:bidi="ar-SA"/>
            </w:rPr>
            <w:t>Tel. 095 5187730 – Fax 095 5187731</w:t>
          </w:r>
        </w:p>
        <w:p>
          <w:pPr>
            <w:pStyle w:val="Intestazione"/>
            <w:widowControl/>
            <w:suppressAutoHyphens w:val="true"/>
            <w:spacing w:before="0" w:after="0"/>
            <w:jc w:val="left"/>
            <w:rPr>
              <w:lang w:val="en-US"/>
            </w:rPr>
          </w:pPr>
          <w:r>
            <w:rPr>
              <w:rFonts w:eastAsia="Calibri" w:cs="Arial"/>
              <w:kern w:val="0"/>
              <w:sz w:val="14"/>
              <w:szCs w:val="14"/>
              <w:lang w:val="en-US" w:eastAsia="en-US" w:bidi="ar-SA"/>
            </w:rPr>
            <w:t>www.halleysud.it – halleysud@legalmail.it</w:t>
          </w:r>
        </w:p>
      </w:tc>
      <w:tc>
        <w:tcPr>
          <w:tcW w:w="2410" w:type="dxa"/>
          <w:tcBorders>
            <w:top w:val="nil"/>
            <w:bottom w:val="nil"/>
            <w:right w:val="nil"/>
          </w:tcBorders>
        </w:tcPr>
        <w:p>
          <w:pPr>
            <w:pStyle w:val="Intestazione"/>
            <w:widowControl/>
            <w:suppressAutoHyphens w:val="true"/>
            <w:spacing w:before="0" w:after="0"/>
            <w:jc w:val="left"/>
            <w:rPr>
              <w:sz w:val="20"/>
              <w:szCs w:val="20"/>
              <w:lang w:val="en-US"/>
            </w:rPr>
          </w:pPr>
          <w:r>
            <w:rPr>
              <w:rFonts w:eastAsia="Calibri" w:cs="Arial"/>
              <w:kern w:val="0"/>
              <w:sz w:val="20"/>
              <w:szCs w:val="20"/>
              <w:lang w:val="en-US" w:eastAsia="en-US" w:bidi="ar-SA"/>
            </w:rPr>
          </w:r>
        </w:p>
        <w:p>
          <w:pPr>
            <w:pStyle w:val="Intestazione"/>
            <w:widowControl/>
            <w:suppressAutoHyphens w:val="true"/>
            <w:spacing w:before="0" w:after="0"/>
            <w:jc w:val="left"/>
            <w:rPr>
              <w:sz w:val="14"/>
              <w:szCs w:val="14"/>
              <w:lang w:val="en-US"/>
            </w:rPr>
          </w:pPr>
          <w:r>
            <w:rPr>
              <w:rFonts w:eastAsia="Calibri" w:cs="Arial"/>
              <w:kern w:val="0"/>
              <w:sz w:val="14"/>
              <w:szCs w:val="14"/>
              <w:lang w:val="en-US" w:eastAsia="en-US" w:bidi="ar-SA"/>
            </w:rPr>
          </w:r>
        </w:p>
        <w:p>
          <w:pPr>
            <w:pStyle w:val="Intestazione"/>
            <w:widowControl/>
            <w:suppressAutoHyphens w:val="true"/>
            <w:spacing w:before="0" w:after="0"/>
            <w:jc w:val="left"/>
            <w:rPr>
              <w:sz w:val="14"/>
              <w:szCs w:val="14"/>
            </w:rPr>
          </w:pPr>
          <w:r>
            <w:rPr>
              <w:rFonts w:eastAsia="Calibri" w:cs="Arial"/>
              <w:kern w:val="0"/>
              <w:sz w:val="14"/>
              <w:szCs w:val="14"/>
              <w:lang w:val="en-US" w:eastAsia="en-US" w:bidi="ar-SA"/>
            </w:rPr>
            <w:t xml:space="preserve">    </w:t>
          </w:r>
          <w:r>
            <w:rPr>
              <w:rFonts w:eastAsia="Calibri" w:cs="Arial"/>
              <w:kern w:val="0"/>
              <w:sz w:val="14"/>
              <w:szCs w:val="14"/>
              <w:lang w:val="it-IT" w:eastAsia="en-US" w:bidi="ar-SA"/>
            </w:rPr>
            <w:t>REA CT-347620</w:t>
          </w:r>
        </w:p>
        <w:p>
          <w:pPr>
            <w:pStyle w:val="Intestazione"/>
            <w:widowControl/>
            <w:suppressAutoHyphens w:val="true"/>
            <w:spacing w:before="0" w:after="0"/>
            <w:jc w:val="left"/>
            <w:rPr>
              <w:sz w:val="14"/>
              <w:szCs w:val="14"/>
            </w:rPr>
          </w:pPr>
          <w:r>
            <w:rPr>
              <w:rFonts w:eastAsia="Calibri" w:cs="Arial"/>
              <w:kern w:val="0"/>
              <w:sz w:val="14"/>
              <w:szCs w:val="14"/>
              <w:lang w:val="it-IT" w:eastAsia="en-US" w:bidi="ar-SA"/>
            </w:rPr>
            <w:t xml:space="preserve">    </w:t>
          </w:r>
          <w:r>
            <w:rPr>
              <w:rFonts w:eastAsia="Calibri" w:cs="Arial"/>
              <w:kern w:val="0"/>
              <w:sz w:val="14"/>
              <w:szCs w:val="14"/>
              <w:lang w:val="it-IT" w:eastAsia="en-US" w:bidi="ar-SA"/>
            </w:rPr>
            <w:t>P. Iva / Cod. Fisc. 05164000878</w:t>
          </w:r>
        </w:p>
        <w:p>
          <w:pPr>
            <w:pStyle w:val="Intestazione"/>
            <w:widowControl/>
            <w:suppressAutoHyphens w:val="true"/>
            <w:spacing w:before="0" w:after="0"/>
            <w:jc w:val="left"/>
            <w:rPr>
              <w:sz w:val="16"/>
              <w:szCs w:val="16"/>
            </w:rPr>
          </w:pPr>
          <w:r>
            <w:rPr>
              <w:rFonts w:eastAsia="Calibri" w:cs="Arial"/>
              <w:kern w:val="0"/>
              <w:sz w:val="14"/>
              <w:szCs w:val="14"/>
              <w:lang w:val="it-IT" w:eastAsia="en-US" w:bidi="ar-SA"/>
            </w:rPr>
            <w:t xml:space="preserve">    </w:t>
          </w:r>
          <w:r>
            <w:rPr>
              <w:rFonts w:eastAsia="Calibri" w:cs="Arial"/>
              <w:kern w:val="0"/>
              <w:sz w:val="14"/>
              <w:szCs w:val="14"/>
              <w:lang w:val="it-IT" w:eastAsia="en-US" w:bidi="ar-SA"/>
            </w:rPr>
            <w:t>Cap. Soc. € 10.000,00</w:t>
          </w:r>
        </w:p>
      </w:tc>
    </w:tr>
  </w:tbl>
  <w:p>
    <w:pPr>
      <w:pStyle w:val="Intestazione"/>
      <w:rPr>
        <w:b/>
        <w:b/>
        <w:bCs/>
      </w:rPr>
    </w:pPr>
    <w:r>
      <w:rPr>
        <w:b/>
        <w:bCs/>
      </w:rPr>
    </w:r>
  </w:p>
  <w:p>
    <w:pPr>
      <w:pStyle w:val="Intestazione"/>
      <w:rPr>
        <w:b/>
        <w:b/>
        <w:bCs/>
      </w:rPr>
    </w:pPr>
    <w:r>
      <w:rPr>
        <w:b/>
        <w:bCs/>
      </w:rPr>
    </w:r>
  </w:p>
  <w:p>
    <w:pPr>
      <w:pStyle w:val="Intestazione"/>
      <w:rPr>
        <w:b/>
        <w:b/>
        <w:bCs/>
      </w:rPr>
    </w:pPr>
    <w:r>
      <w:rPr/>
      <w:drawing>
        <wp:inline distT="0" distB="0" distL="0" distR="0">
          <wp:extent cx="13776960" cy="71755"/>
          <wp:effectExtent l="0" t="0" r="0" b="0"/>
          <wp:docPr id="8" name="Immagine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64" descr=""/>
                  <pic:cNvPicPr>
                    <a:picLocks noChangeAspect="1" noChangeArrowheads="1"/>
                  </pic:cNvPicPr>
                </pic:nvPicPr>
                <pic:blipFill>
                  <a:blip r:embed="rId1"/>
                  <a:stretch>
                    <a:fillRect/>
                  </a:stretch>
                </pic:blipFill>
                <pic:spPr bwMode="auto">
                  <a:xfrm>
                    <a:off x="0" y="0"/>
                    <a:ext cx="13776960" cy="71755"/>
                  </a:xfrm>
                  <a:prstGeom prst="rect">
                    <a:avLst/>
                  </a:prstGeom>
                </pic:spPr>
              </pic:pic>
            </a:graphicData>
          </a:graphic>
        </wp:inline>
      </w:drawing>
      <w:drawing>
        <wp:anchor behindDoc="1" distT="0" distB="0" distL="114300" distR="114300" simplePos="0" locked="0" layoutInCell="0" allowOverlap="1" relativeHeight="26">
          <wp:simplePos x="0" y="0"/>
          <wp:positionH relativeFrom="column">
            <wp:posOffset>1270</wp:posOffset>
          </wp:positionH>
          <wp:positionV relativeFrom="page">
            <wp:posOffset>360680</wp:posOffset>
          </wp:positionV>
          <wp:extent cx="2242185" cy="899795"/>
          <wp:effectExtent l="0" t="0" r="0" b="0"/>
          <wp:wrapSquare wrapText="bothSides"/>
          <wp:docPr id="9" name="Immagine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65" descr=""/>
                  <pic:cNvPicPr>
                    <a:picLocks noChangeAspect="1" noChangeArrowheads="1"/>
                  </pic:cNvPicPr>
                </pic:nvPicPr>
                <pic:blipFill>
                  <a:blip r:embed="rId2"/>
                  <a:stretch>
                    <a:fillRect/>
                  </a:stretch>
                </pic:blipFill>
                <pic:spPr bwMode="auto">
                  <a:xfrm>
                    <a:off x="0" y="0"/>
                    <a:ext cx="2242185" cy="899795"/>
                  </a:xfrm>
                  <a:prstGeom prst="rect">
                    <a:avLst/>
                  </a:prstGeom>
                </pic:spPr>
              </pic:pic>
            </a:graphicData>
          </a:graphic>
        </wp:anchor>
      </w:drawing>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upperRoman"/>
      <w:lvlText w:val="%1."/>
      <w:lvlJc w:val="righ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decimal"/>
      <w:lvlText w:val="ART. %1"/>
      <w:lvlJc w:val="left"/>
      <w:pPr>
        <w:tabs>
          <w:tab w:val="num" w:pos="0"/>
        </w:tabs>
        <w:ind w:left="360" w:hanging="360"/>
      </w:p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7">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it-IT" w:eastAsia="en-US" w:bidi="ar-SA"/>
    </w:rPr>
  </w:style>
  <w:style w:type="paragraph" w:styleId="Titolo1">
    <w:name w:val="Heading 1"/>
    <w:basedOn w:val="Normal"/>
    <w:next w:val="Normal"/>
    <w:link w:val="Titolo1Carattere"/>
    <w:uiPriority w:val="9"/>
    <w:qFormat/>
    <w:pPr>
      <w:keepNext w:val="true"/>
      <w:keepLines/>
      <w:spacing w:before="240" w:after="0"/>
      <w:outlineLvl w:val="0"/>
    </w:pPr>
    <w:rPr>
      <w:rFonts w:ascii="Calibri Light" w:hAnsi="Calibri Light" w:eastAsia="Arial" w:cs="Arial" w:asciiTheme="majorHAnsi" w:cstheme="majorBidi" w:eastAsiaTheme="majorEastAsia" w:hAnsiTheme="majorHAnsi"/>
      <w:color w:val="2F5496" w:themeColor="accent1" w:themeShade="bf"/>
      <w:sz w:val="32"/>
      <w:szCs w:val="32"/>
    </w:rPr>
  </w:style>
  <w:style w:type="paragraph" w:styleId="Titolo2">
    <w:name w:val="Heading 2"/>
    <w:basedOn w:val="Normal"/>
    <w:next w:val="Normal"/>
    <w:link w:val="Titolo2Carattere"/>
    <w:uiPriority w:val="9"/>
    <w:unhideWhenUsed/>
    <w:qFormat/>
    <w:pPr>
      <w:keepNext w:val="true"/>
      <w:keepLines/>
      <w:spacing w:before="40" w:after="0"/>
      <w:outlineLvl w:val="1"/>
    </w:pPr>
    <w:rPr>
      <w:rFonts w:ascii="Calibri Light" w:hAnsi="Calibri Light" w:eastAsia="Arial" w:cs="Arial" w:asciiTheme="majorHAnsi" w:cstheme="majorBidi" w:eastAsiaTheme="majorEastAsia" w:hAnsiTheme="majorHAnsi"/>
      <w:color w:val="2F5496" w:themeColor="accent1" w:themeShade="bf"/>
      <w:sz w:val="26"/>
      <w:szCs w:val="26"/>
    </w:rPr>
  </w:style>
  <w:style w:type="paragraph" w:styleId="Titolo3">
    <w:name w:val="Heading 3"/>
    <w:basedOn w:val="Normal"/>
    <w:next w:val="Normal"/>
    <w:link w:val="Titolo3Carattere"/>
    <w:uiPriority w:val="9"/>
    <w:unhideWhenUsed/>
    <w:qFormat/>
    <w:pPr>
      <w:keepNext w:val="true"/>
      <w:keepLines/>
      <w:spacing w:before="320" w:after="200"/>
      <w:outlineLvl w:val="2"/>
    </w:pPr>
    <w:rPr>
      <w:rFonts w:ascii="Arial" w:hAnsi="Arial" w:eastAsia="Arial" w:cs="Arial"/>
      <w:sz w:val="30"/>
      <w:szCs w:val="30"/>
    </w:rPr>
  </w:style>
  <w:style w:type="paragraph" w:styleId="Titolo4">
    <w:name w:val="Heading 4"/>
    <w:basedOn w:val="Normal"/>
    <w:next w:val="Normal"/>
    <w:link w:val="Titolo4Carattere"/>
    <w:uiPriority w:val="9"/>
    <w:unhideWhenUsed/>
    <w:qFormat/>
    <w:pPr>
      <w:keepNext w:val="true"/>
      <w:keepLines/>
      <w:spacing w:before="320" w:after="200"/>
      <w:outlineLvl w:val="3"/>
    </w:pPr>
    <w:rPr>
      <w:rFonts w:ascii="Arial" w:hAnsi="Arial" w:eastAsia="Arial" w:cs="Arial"/>
      <w:b/>
      <w:bCs/>
      <w:sz w:val="26"/>
      <w:szCs w:val="26"/>
    </w:rPr>
  </w:style>
  <w:style w:type="paragraph" w:styleId="Titolo5">
    <w:name w:val="Heading 5"/>
    <w:basedOn w:val="Normal"/>
    <w:next w:val="Normal"/>
    <w:link w:val="Titolo5Carattere"/>
    <w:uiPriority w:val="9"/>
    <w:unhideWhenUsed/>
    <w:qFormat/>
    <w:pPr>
      <w:keepNext w:val="true"/>
      <w:keepLines/>
      <w:spacing w:before="320" w:after="200"/>
      <w:outlineLvl w:val="4"/>
    </w:pPr>
    <w:rPr>
      <w:rFonts w:ascii="Arial" w:hAnsi="Arial" w:eastAsia="Arial" w:cs="Arial"/>
      <w:b/>
      <w:bCs/>
      <w:sz w:val="24"/>
      <w:szCs w:val="24"/>
    </w:rPr>
  </w:style>
  <w:style w:type="paragraph" w:styleId="Titolo6">
    <w:name w:val="Heading 6"/>
    <w:basedOn w:val="Normal"/>
    <w:next w:val="Normal"/>
    <w:link w:val="Titolo6Carattere"/>
    <w:uiPriority w:val="9"/>
    <w:unhideWhenUsed/>
    <w:qFormat/>
    <w:pPr>
      <w:keepNext w:val="true"/>
      <w:keepLines/>
      <w:spacing w:before="320" w:after="200"/>
      <w:outlineLvl w:val="5"/>
    </w:pPr>
    <w:rPr>
      <w:rFonts w:ascii="Arial" w:hAnsi="Arial" w:eastAsia="Arial" w:cs="Arial"/>
      <w:b/>
      <w:bCs/>
    </w:rPr>
  </w:style>
  <w:style w:type="paragraph" w:styleId="Titolo7">
    <w:name w:val="Heading 7"/>
    <w:basedOn w:val="Normal"/>
    <w:next w:val="Normal"/>
    <w:link w:val="Titolo7Carattere"/>
    <w:uiPriority w:val="9"/>
    <w:unhideWhenUsed/>
    <w:qFormat/>
    <w:pPr>
      <w:keepNext w:val="true"/>
      <w:keepLines/>
      <w:spacing w:before="320" w:after="200"/>
      <w:outlineLvl w:val="6"/>
    </w:pPr>
    <w:rPr>
      <w:rFonts w:ascii="Arial" w:hAnsi="Arial" w:eastAsia="Arial" w:cs="Arial"/>
      <w:b/>
      <w:bCs/>
      <w:i/>
      <w:iCs/>
    </w:rPr>
  </w:style>
  <w:style w:type="paragraph" w:styleId="Titolo8">
    <w:name w:val="Heading 8"/>
    <w:basedOn w:val="Normal"/>
    <w:next w:val="Normal"/>
    <w:link w:val="Titolo8Carattere"/>
    <w:uiPriority w:val="9"/>
    <w:unhideWhenUsed/>
    <w:qFormat/>
    <w:pPr>
      <w:keepNext w:val="true"/>
      <w:keepLines/>
      <w:spacing w:before="320" w:after="200"/>
      <w:outlineLvl w:val="7"/>
    </w:pPr>
    <w:rPr>
      <w:rFonts w:ascii="Arial" w:hAnsi="Arial" w:eastAsia="Arial" w:cs="Arial"/>
      <w:i/>
      <w:iCs/>
    </w:rPr>
  </w:style>
  <w:style w:type="paragraph" w:styleId="Titolo9">
    <w:name w:val="Heading 9"/>
    <w:basedOn w:val="Normal"/>
    <w:next w:val="Normal"/>
    <w:link w:val="Titolo9Carattere"/>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Titolo3Carattere" w:customStyle="1">
    <w:name w:val="Titolo 3 Carattere"/>
    <w:basedOn w:val="DefaultParagraphFont"/>
    <w:link w:val="Titolo3"/>
    <w:uiPriority w:val="9"/>
    <w:qFormat/>
    <w:rPr>
      <w:rFonts w:ascii="Arial" w:hAnsi="Arial" w:eastAsia="Arial" w:cs="Arial"/>
      <w:sz w:val="30"/>
      <w:szCs w:val="30"/>
    </w:rPr>
  </w:style>
  <w:style w:type="character" w:styleId="Titolo4Carattere" w:customStyle="1">
    <w:name w:val="Titolo 4 Carattere"/>
    <w:basedOn w:val="DefaultParagraphFont"/>
    <w:link w:val="Titolo4"/>
    <w:uiPriority w:val="9"/>
    <w:qFormat/>
    <w:rPr>
      <w:rFonts w:ascii="Arial" w:hAnsi="Arial" w:eastAsia="Arial" w:cs="Arial"/>
      <w:b/>
      <w:bCs/>
      <w:sz w:val="26"/>
      <w:szCs w:val="26"/>
    </w:rPr>
  </w:style>
  <w:style w:type="character" w:styleId="Titolo5Carattere" w:customStyle="1">
    <w:name w:val="Titolo 5 Carattere"/>
    <w:basedOn w:val="DefaultParagraphFont"/>
    <w:link w:val="Titolo5"/>
    <w:uiPriority w:val="9"/>
    <w:qFormat/>
    <w:rPr>
      <w:rFonts w:ascii="Arial" w:hAnsi="Arial" w:eastAsia="Arial" w:cs="Arial"/>
      <w:b/>
      <w:bCs/>
      <w:sz w:val="24"/>
      <w:szCs w:val="24"/>
    </w:rPr>
  </w:style>
  <w:style w:type="character" w:styleId="Titolo6Carattere" w:customStyle="1">
    <w:name w:val="Titolo 6 Carattere"/>
    <w:basedOn w:val="DefaultParagraphFont"/>
    <w:link w:val="Titolo6"/>
    <w:uiPriority w:val="9"/>
    <w:qFormat/>
    <w:rPr>
      <w:rFonts w:ascii="Arial" w:hAnsi="Arial" w:eastAsia="Arial" w:cs="Arial"/>
      <w:b/>
      <w:bCs/>
      <w:sz w:val="22"/>
      <w:szCs w:val="22"/>
    </w:rPr>
  </w:style>
  <w:style w:type="character" w:styleId="Titolo7Carattere" w:customStyle="1">
    <w:name w:val="Titolo 7 Carattere"/>
    <w:basedOn w:val="DefaultParagraphFont"/>
    <w:link w:val="Titolo7"/>
    <w:uiPriority w:val="9"/>
    <w:qFormat/>
    <w:rPr>
      <w:rFonts w:ascii="Arial" w:hAnsi="Arial" w:eastAsia="Arial" w:cs="Arial"/>
      <w:b/>
      <w:bCs/>
      <w:i/>
      <w:iCs/>
      <w:sz w:val="22"/>
      <w:szCs w:val="22"/>
    </w:rPr>
  </w:style>
  <w:style w:type="character" w:styleId="Titolo8Carattere" w:customStyle="1">
    <w:name w:val="Titolo 8 Carattere"/>
    <w:basedOn w:val="DefaultParagraphFont"/>
    <w:link w:val="Titolo8"/>
    <w:uiPriority w:val="9"/>
    <w:qFormat/>
    <w:rPr>
      <w:rFonts w:ascii="Arial" w:hAnsi="Arial" w:eastAsia="Arial" w:cs="Arial"/>
      <w:i/>
      <w:iCs/>
      <w:sz w:val="22"/>
      <w:szCs w:val="22"/>
    </w:rPr>
  </w:style>
  <w:style w:type="character" w:styleId="Titolo9Carattere" w:customStyle="1">
    <w:name w:val="Titolo 9 Carattere"/>
    <w:basedOn w:val="DefaultParagraphFont"/>
    <w:link w:val="Titolo9"/>
    <w:uiPriority w:val="9"/>
    <w:qFormat/>
    <w:rPr>
      <w:rFonts w:ascii="Arial" w:hAnsi="Arial" w:eastAsia="Arial" w:cs="Arial"/>
      <w:i/>
      <w:iCs/>
      <w:sz w:val="21"/>
      <w:szCs w:val="21"/>
    </w:rPr>
  </w:style>
  <w:style w:type="character" w:styleId="TitoloCarattere" w:customStyle="1">
    <w:name w:val="Titolo Carattere"/>
    <w:basedOn w:val="DefaultParagraphFont"/>
    <w:link w:val="Titolo"/>
    <w:uiPriority w:val="10"/>
    <w:qFormat/>
    <w:rPr>
      <w:sz w:val="48"/>
      <w:szCs w:val="48"/>
    </w:rPr>
  </w:style>
  <w:style w:type="character" w:styleId="SottotitoloCarattere" w:customStyle="1">
    <w:name w:val="Sottotitolo Carattere"/>
    <w:basedOn w:val="DefaultParagraphFont"/>
    <w:link w:val="Sottotitolo"/>
    <w:uiPriority w:val="11"/>
    <w:qFormat/>
    <w:rPr>
      <w:sz w:val="24"/>
      <w:szCs w:val="24"/>
    </w:rPr>
  </w:style>
  <w:style w:type="character" w:styleId="CitazioneCarattere" w:customStyle="1">
    <w:name w:val="Citazione Carattere"/>
    <w:link w:val="Citazione"/>
    <w:uiPriority w:val="29"/>
    <w:qFormat/>
    <w:rPr>
      <w:i/>
    </w:rPr>
  </w:style>
  <w:style w:type="character" w:styleId="CitazioneintensaCarattere" w:customStyle="1">
    <w:name w:val="Citazione intensa Carattere"/>
    <w:link w:val="Citazioneintensa"/>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TestonotaapidipaginaCarattere" w:customStyle="1">
    <w:name w:val="Testo nota a piè di pagina Carattere"/>
    <w:link w:val="Testonotaapidipagina"/>
    <w:uiPriority w:val="99"/>
    <w:qFormat/>
    <w:rPr>
      <w:sz w:val="18"/>
    </w:rPr>
  </w:style>
  <w:style w:type="character" w:styleId="Richiamoallanotaapidipagina" w:customStyle="1">
    <w:name w:val="Richiamo alla nota a piè di pagina"/>
    <w:rPr>
      <w:vertAlign w:val="superscript"/>
    </w:rPr>
  </w:style>
  <w:style w:type="character" w:styleId="FootnoteCharacters" w:customStyle="1">
    <w:name w:val="Footnote Characters"/>
    <w:basedOn w:val="DefaultParagraphFont"/>
    <w:uiPriority w:val="99"/>
    <w:unhideWhenUsed/>
    <w:qFormat/>
    <w:rPr>
      <w:vertAlign w:val="superscript"/>
    </w:rPr>
  </w:style>
  <w:style w:type="character" w:styleId="TestonotadichiusuraCarattere" w:customStyle="1">
    <w:name w:val="Testo nota di chiusura Carattere"/>
    <w:link w:val="Testonotadichiusura"/>
    <w:uiPriority w:val="99"/>
    <w:qFormat/>
    <w:rPr>
      <w:sz w:val="20"/>
    </w:rPr>
  </w:style>
  <w:style w:type="character" w:styleId="Richiamoallanotadichiusura" w:customStyle="1">
    <w:name w:val="Richiamo alla nota di chiusura"/>
    <w:rPr>
      <w:vertAlign w:val="superscript"/>
    </w:rPr>
  </w:style>
  <w:style w:type="character" w:styleId="EndnoteCharacters" w:customStyle="1">
    <w:name w:val="Endnote Characters"/>
    <w:basedOn w:val="DefaultParagraphFont"/>
    <w:uiPriority w:val="99"/>
    <w:semiHidden/>
    <w:unhideWhenUsed/>
    <w:qFormat/>
    <w:rPr>
      <w:vertAlign w:val="superscript"/>
    </w:rPr>
  </w:style>
  <w:style w:type="character" w:styleId="IntestazioneCarattere" w:customStyle="1">
    <w:name w:val="Intestazione Carattere"/>
    <w:basedOn w:val="DefaultParagraphFont"/>
    <w:link w:val="Intestazione"/>
    <w:uiPriority w:val="99"/>
    <w:qFormat/>
    <w:rPr/>
  </w:style>
  <w:style w:type="character" w:styleId="PidipaginaCarattere" w:customStyle="1">
    <w:name w:val="Piè di pagina Carattere"/>
    <w:basedOn w:val="DefaultParagraphFont"/>
    <w:link w:val="Pidipagina"/>
    <w:uiPriority w:val="99"/>
    <w:qFormat/>
    <w:rPr/>
  </w:style>
  <w:style w:type="character" w:styleId="CollegamentoInternet">
    <w:name w:val="Collegamento Internet"/>
    <w:basedOn w:val="DefaultParagraphFont"/>
    <w:uiPriority w:val="99"/>
    <w:unhideWhenUsed/>
    <w:rsid w:val="003464ff"/>
    <w:rPr>
      <w:color w:val="0563C1" w:themeColor="hyperlink"/>
      <w:u w:val="single"/>
    </w:rPr>
  </w:style>
  <w:style w:type="character" w:styleId="UnresolvedMention">
    <w:name w:val="Unresolved Mention"/>
    <w:basedOn w:val="DefaultParagraphFont"/>
    <w:uiPriority w:val="99"/>
    <w:semiHidden/>
    <w:unhideWhenUsed/>
    <w:qFormat/>
    <w:rPr>
      <w:color w:val="605E5C"/>
      <w:shd w:fill="E1DFDD" w:val="clear"/>
    </w:rPr>
  </w:style>
  <w:style w:type="character" w:styleId="NessunaspaziaturaCarattere" w:customStyle="1">
    <w:name w:val="Nessuna spaziatura Carattere"/>
    <w:basedOn w:val="DefaultParagraphFont"/>
    <w:link w:val="Nessunaspaziatura"/>
    <w:uiPriority w:val="1"/>
    <w:qFormat/>
    <w:rPr>
      <w:rFonts w:ascii="Calibri" w:hAnsi="Calibri" w:eastAsia="Arial Unicode MS" w:cs="Arial Unicode MS"/>
      <w:color w:val="000000"/>
      <w:lang w:eastAsia="it-IT"/>
    </w:rPr>
  </w:style>
  <w:style w:type="character" w:styleId="Titolo1Carattere" w:customStyle="1">
    <w:name w:val="Titolo 1 Carattere"/>
    <w:basedOn w:val="DefaultParagraphFont"/>
    <w:link w:val="Titolo1"/>
    <w:uiPriority w:val="9"/>
    <w:qFormat/>
    <w:rPr>
      <w:rFonts w:ascii="Calibri Light" w:hAnsi="Calibri Light" w:eastAsia="Arial" w:cs="Arial" w:asciiTheme="majorHAnsi" w:cstheme="majorBidi" w:eastAsiaTheme="majorEastAsia" w:hAnsiTheme="majorHAnsi"/>
      <w:color w:val="2F5496" w:themeColor="accent1" w:themeShade="bf"/>
      <w:sz w:val="32"/>
      <w:szCs w:val="32"/>
    </w:rPr>
  </w:style>
  <w:style w:type="character" w:styleId="Titolo2Carattere" w:customStyle="1">
    <w:name w:val="Titolo 2 Carattere"/>
    <w:basedOn w:val="DefaultParagraphFont"/>
    <w:link w:val="Titolo2"/>
    <w:uiPriority w:val="9"/>
    <w:qFormat/>
    <w:rPr>
      <w:rFonts w:ascii="Calibri Light" w:hAnsi="Calibri Light" w:eastAsia="Arial" w:cs="Arial" w:asciiTheme="majorHAnsi" w:cstheme="majorBidi" w:eastAsiaTheme="majorEastAsia" w:hAnsiTheme="majorHAnsi"/>
      <w:color w:val="2F5496" w:themeColor="accent1" w:themeShade="bf"/>
      <w:sz w:val="26"/>
      <w:szCs w:val="26"/>
    </w:rPr>
  </w:style>
  <w:style w:type="character" w:styleId="Saltoaindice" w:customStyle="1">
    <w:name w:val="Salto a indice"/>
    <w:qFormat/>
    <w:rPr/>
  </w:style>
  <w:style w:type="character" w:styleId="ParagrafoelencoCarattere" w:customStyle="1">
    <w:name w:val="Paragrafo elenco Carattere"/>
    <w:link w:val="Paragrafoelenco"/>
    <w:uiPriority w:val="34"/>
    <w:qFormat/>
    <w:rsid w:val="00220aff"/>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link w:val="TitoloCarattere"/>
    <w:uiPriority w:val="10"/>
    <w:qFormat/>
    <w:pPr>
      <w:spacing w:before="300" w:after="200"/>
      <w:contextualSpacing/>
    </w:pPr>
    <w:rPr>
      <w:sz w:val="48"/>
      <w:szCs w:val="48"/>
    </w:rPr>
  </w:style>
  <w:style w:type="paragraph" w:styleId="Caption">
    <w:name w:val="caption"/>
    <w:basedOn w:val="Normal"/>
    <w:next w:val="Normal"/>
    <w:uiPriority w:val="35"/>
    <w:semiHidden/>
    <w:unhideWhenUsed/>
    <w:qFormat/>
    <w:pPr>
      <w:spacing w:lineRule="auto" w:line="276"/>
    </w:pPr>
    <w:rPr>
      <w:b/>
      <w:bCs/>
      <w:color w:val="4472C4" w:themeColor="accent1"/>
      <w:sz w:val="18"/>
      <w:szCs w:val="18"/>
    </w:rPr>
  </w:style>
  <w:style w:type="paragraph" w:styleId="Sottotitolo">
    <w:name w:val="Subtitle"/>
    <w:basedOn w:val="Normal"/>
    <w:next w:val="Normal"/>
    <w:link w:val="SottotitoloCarattere"/>
    <w:uiPriority w:val="11"/>
    <w:qFormat/>
    <w:pPr>
      <w:spacing w:before="200" w:after="200"/>
    </w:pPr>
    <w:rPr>
      <w:sz w:val="24"/>
      <w:szCs w:val="24"/>
    </w:rPr>
  </w:style>
  <w:style w:type="paragraph" w:styleId="Quote">
    <w:name w:val="Quote"/>
    <w:basedOn w:val="Normal"/>
    <w:next w:val="Normal"/>
    <w:link w:val="CitazioneCarattere"/>
    <w:uiPriority w:val="29"/>
    <w:qFormat/>
    <w:pPr>
      <w:ind w:left="720" w:right="720" w:hanging="0"/>
    </w:pPr>
    <w:rPr>
      <w:i/>
    </w:rPr>
  </w:style>
  <w:style w:type="paragraph" w:styleId="IntenseQuote">
    <w:name w:val="Intense Quote"/>
    <w:basedOn w:val="Normal"/>
    <w:next w:val="Normal"/>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Notaapidipagina">
    <w:name w:val="Footnote Text"/>
    <w:basedOn w:val="Normal"/>
    <w:link w:val="TestonotaapidipaginaCarattere"/>
    <w:uiPriority w:val="99"/>
    <w:semiHidden/>
    <w:unhideWhenUsed/>
    <w:pPr>
      <w:spacing w:lineRule="auto" w:line="240" w:before="0" w:after="40"/>
    </w:pPr>
    <w:rPr>
      <w:sz w:val="18"/>
    </w:rPr>
  </w:style>
  <w:style w:type="paragraph" w:styleId="Notadichiusura">
    <w:name w:val="Endnote Text"/>
    <w:basedOn w:val="Normal"/>
    <w:link w:val="TestonotadichiusuraCarattere"/>
    <w:uiPriority w:val="99"/>
    <w:semiHidden/>
    <w:unhideWhenUsed/>
    <w:pPr>
      <w:spacing w:lineRule="auto" w:line="240" w:before="0" w:after="0"/>
    </w:pPr>
    <w:rPr>
      <w:sz w:val="20"/>
    </w:rPr>
  </w:style>
  <w:style w:type="paragraph" w:styleId="Indice3">
    <w:name w:val="TOC 3"/>
    <w:basedOn w:val="Normal"/>
    <w:next w:val="Normal"/>
    <w:uiPriority w:val="39"/>
    <w:unhideWhenUsed/>
    <w:pPr>
      <w:spacing w:before="0" w:after="57"/>
      <w:ind w:left="567" w:hanging="0"/>
    </w:pPr>
    <w:rPr/>
  </w:style>
  <w:style w:type="paragraph" w:styleId="Indice4">
    <w:name w:val="TOC 4"/>
    <w:basedOn w:val="Normal"/>
    <w:next w:val="Normal"/>
    <w:uiPriority w:val="39"/>
    <w:unhideWhenUsed/>
    <w:pPr>
      <w:spacing w:before="0" w:after="57"/>
      <w:ind w:left="850" w:hanging="0"/>
    </w:pPr>
    <w:rPr/>
  </w:style>
  <w:style w:type="paragraph" w:styleId="Indice5">
    <w:name w:val="TOC 5"/>
    <w:basedOn w:val="Normal"/>
    <w:next w:val="Normal"/>
    <w:uiPriority w:val="39"/>
    <w:unhideWhenUsed/>
    <w:pPr>
      <w:spacing w:before="0" w:after="57"/>
      <w:ind w:left="1134" w:hanging="0"/>
    </w:pPr>
    <w:rPr/>
  </w:style>
  <w:style w:type="paragraph" w:styleId="Indice6">
    <w:name w:val="TOC 6"/>
    <w:basedOn w:val="Normal"/>
    <w:next w:val="Normal"/>
    <w:uiPriority w:val="39"/>
    <w:unhideWhenUsed/>
    <w:pPr>
      <w:spacing w:before="0" w:after="57"/>
      <w:ind w:left="1417" w:hanging="0"/>
    </w:pPr>
    <w:rPr/>
  </w:style>
  <w:style w:type="paragraph" w:styleId="Indice7">
    <w:name w:val="TOC 7"/>
    <w:basedOn w:val="Normal"/>
    <w:next w:val="Normal"/>
    <w:uiPriority w:val="39"/>
    <w:unhideWhenUsed/>
    <w:pPr>
      <w:spacing w:before="0" w:after="57"/>
      <w:ind w:left="1701" w:hanging="0"/>
    </w:pPr>
    <w:rPr/>
  </w:style>
  <w:style w:type="paragraph" w:styleId="Indice8">
    <w:name w:val="TOC 8"/>
    <w:basedOn w:val="Normal"/>
    <w:next w:val="Normal"/>
    <w:uiPriority w:val="39"/>
    <w:unhideWhenUsed/>
    <w:pPr>
      <w:spacing w:before="0" w:after="57"/>
      <w:ind w:left="1984" w:hanging="0"/>
    </w:pPr>
    <w:rPr/>
  </w:style>
  <w:style w:type="paragraph" w:styleId="Indice9">
    <w:name w:val="TOC 9"/>
    <w:basedOn w:val="Normal"/>
    <w:next w:val="Normal"/>
    <w:uiPriority w:val="39"/>
    <w:unhideWhenUsed/>
    <w:pPr>
      <w:spacing w:before="0" w:after="57"/>
      <w:ind w:left="2268" w:hanging="0"/>
    </w:pPr>
    <w:rPr/>
  </w:style>
  <w:style w:type="paragraph" w:styleId="TOCHeading">
    <w:name w:val="TOC Heading"/>
    <w:uiPriority w:val="39"/>
    <w:unhideWhenUsed/>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it-IT" w:eastAsia="en-US" w:bidi="ar-SA"/>
    </w:rPr>
  </w:style>
  <w:style w:type="paragraph" w:styleId="Tableoffigures">
    <w:name w:val="table of figures"/>
    <w:basedOn w:val="Normal"/>
    <w:next w:val="Normal"/>
    <w:uiPriority w:val="99"/>
    <w:unhideWhenUsed/>
    <w:qFormat/>
    <w:pPr>
      <w:spacing w:before="0" w:after="0"/>
    </w:pPr>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pPr>
      <w:tabs>
        <w:tab w:val="clear" w:pos="708"/>
        <w:tab w:val="center" w:pos="4819" w:leader="none"/>
        <w:tab w:val="right" w:pos="9638" w:leader="none"/>
      </w:tabs>
      <w:spacing w:lineRule="auto" w:line="240" w:before="0" w:after="0"/>
    </w:pPr>
    <w:rPr/>
  </w:style>
  <w:style w:type="paragraph" w:styleId="NoSpacing">
    <w:name w:val="No Spacing"/>
    <w:link w:val="NessunaspaziaturaCarattere"/>
    <w:uiPriority w:val="1"/>
    <w:qFormat/>
    <w:pPr>
      <w:widowControl/>
      <w:suppressAutoHyphens w:val="true"/>
      <w:bidi w:val="0"/>
      <w:spacing w:lineRule="auto" w:line="276" w:before="0" w:after="200"/>
      <w:jc w:val="left"/>
    </w:pPr>
    <w:rPr>
      <w:rFonts w:ascii="Calibri" w:hAnsi="Calibri" w:eastAsia="Arial Unicode MS" w:cs="Arial Unicode MS"/>
      <w:color w:val="000000"/>
      <w:kern w:val="0"/>
      <w:sz w:val="22"/>
      <w:szCs w:val="22"/>
      <w:lang w:eastAsia="it-IT" w:val="it-IT" w:bidi="ar-SA"/>
    </w:rPr>
  </w:style>
  <w:style w:type="paragraph" w:styleId="Indice1">
    <w:name w:val="TOC 1"/>
    <w:basedOn w:val="Normal"/>
    <w:next w:val="Normal"/>
    <w:uiPriority w:val="39"/>
    <w:unhideWhenUsed/>
    <w:pPr>
      <w:spacing w:before="0" w:after="100"/>
    </w:pPr>
    <w:rPr/>
  </w:style>
  <w:style w:type="paragraph" w:styleId="Indice2">
    <w:name w:val="TOC 2"/>
    <w:basedOn w:val="Normal"/>
    <w:next w:val="Normal"/>
    <w:uiPriority w:val="39"/>
    <w:unhideWhenUsed/>
    <w:pPr>
      <w:spacing w:before="0" w:after="100"/>
      <w:ind w:left="220" w:hanging="0"/>
    </w:pPr>
    <w:rPr/>
  </w:style>
  <w:style w:type="paragraph" w:styleId="ListParagraph">
    <w:name w:val="List Paragraph"/>
    <w:basedOn w:val="Normal"/>
    <w:link w:val="ParagrafoelencoCarattere"/>
    <w:uiPriority w:val="34"/>
    <w:qFormat/>
    <w:pPr>
      <w:spacing w:before="0" w:after="160"/>
      <w:ind w:left="720" w:hanging="0"/>
      <w:contextualSpacing/>
    </w:pPr>
    <w:rPr/>
  </w:style>
  <w:style w:type="paragraph" w:styleId="Contenutocornice" w:customStyle="1">
    <w:name w:val="Contenuto cornice"/>
    <w:basedOn w:val="Normal"/>
    <w:qFormat/>
    <w:pPr/>
    <w:rPr/>
  </w:style>
  <w:style w:type="numbering" w:styleId="NoList" w:default="1">
    <w:name w:val="No List"/>
    <w:uiPriority w:val="99"/>
    <w:semiHidden/>
    <w:unhideWhenUsed/>
    <w:qFormat/>
  </w:style>
  <w:style w:type="numbering" w:styleId="Stileimportato2" w:customStyle="1">
    <w:name w:val="Stile importato 2"/>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Tabellanormale"/>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Tabellasemplice-1">
    <w:name w:val="Plain Table 1"/>
    <w:basedOn w:val="Tabellanormale"/>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Tabellasemplice-2">
    <w:name w:val="Plain Table 2"/>
    <w:basedOn w:val="Tabellanormale"/>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Tabellasemplice-3">
    <w:name w:val="Plain Table 3"/>
    <w:basedOn w:val="Tabellanormale"/>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ellasemplice4">
    <w:name w:val="Plain Table 4"/>
    <w:basedOn w:val="Tabellanormale"/>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ellasemplice5">
    <w:name w:val="Plain Table 5"/>
    <w:basedOn w:val="Tabellanormale"/>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ellagriglia1chiara">
    <w:name w:val="Grid Table 1 Light"/>
    <w:basedOn w:val="Tabellanormale"/>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000000"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basedOn w:val="Tabellanormale"/>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b/>
        <w:color w:val="404040"/>
      </w:rPr>
      <w:tblPr/>
      <w:tcPr>
        <w:tcBorders>
          <w:bottom w:val="single" w:color="4472C4"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style>
  <w:style w:type="table" w:customStyle="1" w:styleId="GridTable1Light-Accent2">
    <w:name w:val="Grid Table 1 Light - Accent 2"/>
    <w:basedOn w:val="Tabellanormale"/>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ED7D31"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GridTable1Light-Accent3">
    <w:name w:val="Grid Table 1 Light - Accent 3"/>
    <w:basedOn w:val="Tabellanormale"/>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A5A5A5"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GridTable1Light-Accent4">
    <w:name w:val="Grid Table 1 Light - Accent 4"/>
    <w:basedOn w:val="Tabellanormale"/>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C000"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GridTable1Light-Accent5">
    <w:name w:val="Grid Table 1 Light - Accent 5"/>
    <w:basedOn w:val="Tabellanormale"/>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blPr/>
      <w:tcPr>
        <w:tcBorders>
          <w:bottom w:val="single" w:color="5B9BD5"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style>
  <w:style w:type="table" w:customStyle="1" w:styleId="GridTable1Light-Accent6">
    <w:name w:val="Grid Table 1 Light - Accent 6"/>
    <w:basedOn w:val="Tabellanormale"/>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70AD47"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 w:type="table" w:styleId="Tabellagriglia2">
    <w:name w:val="Grid Table 2"/>
    <w:basedOn w:val="Tabellanormale"/>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ellanormale"/>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blPr/>
      <w:tcPr>
        <w:tcBorders>
          <w:top w:val="none" w:color="000000" w:sz="4" w:space="0"/>
          <w:left w:val="none" w:color="000000" w:sz="4" w:space="0"/>
          <w:bottom w:val="single" w:color="4472C4" w:themeColor="accent1" w:sz="12" w:space="0"/>
          <w:right w:val="none" w:color="000000" w:sz="4" w:space="0"/>
        </w:tcBorders>
        <w:shd w:val="clear" w:color="FFFFFF" w:fill="auto"/>
      </w:tcPr>
    </w:tblStylePr>
    <w:tblStylePr w:type="lastRow">
      <w:rPr>
        <w:b/>
        <w:color w:val="404040"/>
      </w:rPr>
      <w:tblPr/>
      <w:tcPr>
        <w:tcBorders>
          <w:top w:val="single" w:color="4472C4"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2-Accent2">
    <w:name w:val="Grid Table 2 - Accent 2"/>
    <w:basedOn w:val="Tabellanormale"/>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ED7D31" w:themeColor="accent2" w:sz="12" w:space="0"/>
          <w:right w:val="none" w:color="000000" w:sz="4" w:space="0"/>
        </w:tcBorders>
        <w:shd w:val="clear" w:color="FFFFFF" w:fill="auto"/>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Tabellanormale"/>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Tabellanormale"/>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C000" w:themeColor="accent4" w:sz="12" w:space="0"/>
          <w:right w:val="none" w:color="000000" w:sz="4" w:space="0"/>
        </w:tcBorders>
        <w:shd w:val="clear" w:color="FFFFFF" w:fill="auto"/>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Tabellanormale"/>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blPr/>
      <w:tcPr>
        <w:tcBorders>
          <w:top w:val="none" w:color="000000" w:sz="4" w:space="0"/>
          <w:left w:val="none" w:color="000000" w:sz="4" w:space="0"/>
          <w:bottom w:val="single" w:color="5B9BD5" w:themeColor="accent5" w:sz="12" w:space="0"/>
          <w:right w:val="none" w:color="000000" w:sz="4" w:space="0"/>
        </w:tcBorders>
        <w:shd w:val="clear" w:color="FFFFFF" w:fill="auto"/>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2-Accent6">
    <w:name w:val="Grid Table 2 - Accent 6"/>
    <w:basedOn w:val="Tabellanormale"/>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rigliatab3">
    <w:name w:val="Grid Table 3"/>
    <w:basedOn w:val="Tabellanormale"/>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ellanormale"/>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3-Accent2">
    <w:name w:val="Grid Table 3 - Accent 2"/>
    <w:basedOn w:val="Tabellanormale"/>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Tabellanormale"/>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Tabellanormale"/>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Tabellanormale"/>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3-Accent6">
    <w:name w:val="Grid Table 3 - Accent 6"/>
    <w:basedOn w:val="Tabellanormale"/>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rigliatab4">
    <w:name w:val="Grid Table 4"/>
    <w:basedOn w:val="Tabellanormale"/>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ellanormale"/>
    <w:uiPriority w:val="5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b/>
        <w:color w:val="FFFFFF"/>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shd w:val="clear" w:color="537DC8" w:fill="537DC8" w:themeFill="accent1" w:themeFillTint="ea"/>
      </w:tcPr>
    </w:tblStylePr>
    <w:tblStylePr w:type="lastRow">
      <w:rPr>
        <w:b/>
        <w:color w:val="404040"/>
      </w:rPr>
      <w:tblPr/>
      <w:tcPr>
        <w:tcBorders>
          <w:top w:val="single" w:color="4472C4"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3F3" w:fill="DAE3F3" w:themeFill="accent1" w:themeFillTint="32"/>
      </w:tcPr>
    </w:tblStylePr>
    <w:tblStylePr w:type="band1Horz">
      <w:rPr>
        <w:color w:val="404040"/>
        <w:sz w:val="22"/>
      </w:rPr>
      <w:tblPr/>
      <w:tcPr>
        <w:shd w:val="clear" w:color="DAE3F3" w:fill="DAE3F3" w:themeFill="accent1" w:themeFillTint="32"/>
      </w:tcPr>
    </w:tblStylePr>
  </w:style>
  <w:style w:type="table" w:customStyle="1" w:styleId="GridTable4-Accent2">
    <w:name w:val="Grid Table 4 - Accent 2"/>
    <w:basedOn w:val="Tabellanormale"/>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color w:val="FFFFFF"/>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F4B184" w:fill="F4B184" w:themeFill="accent2" w:themeFillTint="97"/>
      </w:tcPr>
    </w:tblStylePr>
    <w:tblStylePr w:type="lastRow">
      <w:rPr>
        <w:b/>
        <w:color w:val="404040"/>
      </w:rPr>
      <w:tblPr/>
      <w:tcPr>
        <w:tcBorders>
          <w:top w:val="single" w:color="ED7D31"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Tabellanormale"/>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Tabellanormale"/>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color w:val="FFFFFF"/>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shd w:val="clear" w:color="FFD865" w:fill="FFD865" w:themeFill="accent4" w:themeFillTint="9a"/>
      </w:tcPr>
    </w:tblStylePr>
    <w:tblStylePr w:type="lastRow">
      <w:rPr>
        <w:b/>
        <w:color w:val="404040"/>
      </w:rPr>
      <w:tblPr/>
      <w:tcPr>
        <w:tcBorders>
          <w:top w:val="single" w:color="FFC000"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Tabellanormale"/>
    <w:uiPriority w:val="5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b/>
        <w:color w:val="FFFFFF"/>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fill="5B9BD5" w:themeFill="accent5"/>
      </w:tcPr>
    </w:tblStylePr>
    <w:tblStylePr w:type="lastRow">
      <w:rPr>
        <w:b/>
        <w:color w:val="404040"/>
      </w:rPr>
      <w:tblPr/>
      <w:tcPr>
        <w:tcBorders>
          <w:top w:val="single" w:color="5B9BD5"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4-Accent6">
    <w:name w:val="Grid Table 4 - Accent 6"/>
    <w:basedOn w:val="Tabellanormale"/>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ellagriglia5scura">
    <w:name w:val="Grid Table 5 Dark"/>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472C4" w:fill="4472C4" w:themeFill="accent1"/>
      </w:tcPr>
    </w:tblStylePr>
    <w:tblStylePr w:type="lastRow">
      <w:rPr>
        <w:b/>
        <w:color w:val="FFFFFF"/>
        <w:sz w:val="22"/>
      </w:rPr>
      <w:tblPr/>
      <w:tcPr>
        <w:tcBorders>
          <w:top w:val="single" w:color="FFFFFF" w:themeColor="light1" w:sz="4" w:space="0"/>
        </w:tcBorders>
        <w:shd w:val="clear" w:color="4472C4" w:fill="4472C4" w:themeFill="accent1"/>
      </w:tcPr>
    </w:tblStylePr>
    <w:tblStylePr w:type="firstCol">
      <w:rPr>
        <w:b/>
        <w:color w:val="FFFFFF"/>
        <w:sz w:val="22"/>
      </w:rPr>
      <w:tblPr/>
      <w:tcPr>
        <w:shd w:val="clear" w:color="4472C4" w:fill="4472C4" w:themeFill="accent1"/>
      </w:tcPr>
    </w:tblStylePr>
    <w:tblStylePr w:type="lastCol">
      <w:rPr>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5B9BD5" w:fill="5B9BD5" w:themeFill="accent5"/>
      </w:tcPr>
    </w:tblStylePr>
    <w:tblStylePr w:type="lastRow">
      <w:rPr>
        <w:b/>
        <w:color w:val="FFFFFF"/>
        <w:sz w:val="22"/>
      </w:rPr>
      <w:tblPr/>
      <w:tcPr>
        <w:tcBorders>
          <w:top w:val="single" w:color="FFFFFF" w:themeColor="light1" w:sz="4" w:space="0"/>
        </w:tcBorders>
        <w:shd w:val="clear" w:color="5B9BD5" w:fill="5B9BD5" w:themeFill="accent5"/>
      </w:tcPr>
    </w:tblStylePr>
    <w:tblStylePr w:type="firstCol">
      <w:rPr>
        <w:b/>
        <w:color w:val="FFFFFF"/>
        <w:sz w:val="22"/>
      </w:rPr>
      <w:tblPr/>
      <w:tcPr>
        <w:shd w:val="clear" w:color="5B9BD5" w:fill="5B9BD5" w:themeFill="accent5"/>
      </w:tcPr>
    </w:tblStylePr>
    <w:tblStylePr w:type="lastCol">
      <w:rPr>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Tabellagriglia6acolori">
    <w:name w:val="Grid Table 6 Colorful"/>
    <w:basedOn w:val="Tabellanormale"/>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000000"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Tabellanormale"/>
    <w:uiPriority w:val="99"/>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val="A0B7E1" w:themeColor="accent1" w:themeTint="80" w:themeShade="95"/>
      </w:rPr>
      <w:tblPr/>
      <w:tcPr>
        <w:tcBorders>
          <w:bottom w:val="single" w:color="4472C4" w:themeColor="accent1" w:sz="12" w:space="0"/>
        </w:tcBorders>
      </w:tcPr>
    </w:tblStylePr>
    <w:tblStylePr w:type="lastRow">
      <w:rPr>
        <w:b/>
        <w:color w:val="A0B7E1" w:themeColor="accent1" w:themeTint="80" w:themeShade="95"/>
      </w:rPr>
      <w:tblPr/>
    </w:tblStylePr>
    <w:tblStylePr w:type="firstCol">
      <w:rPr>
        <w:b/>
        <w:color w:val="A0B7E1" w:themeColor="accent1" w:themeTint="80" w:themeShade="95"/>
      </w:rPr>
      <w:tblPr/>
    </w:tblStylePr>
    <w:tblStylePr w:type="lastCol">
      <w:rPr>
        <w:b/>
        <w:color w:val="A0B7E1" w:themeColor="accent1" w:themeTint="80" w:themeShade="95"/>
      </w:rPr>
      <w:tbl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Pr/>
    </w:tblStylePr>
  </w:style>
  <w:style w:type="table" w:customStyle="1" w:styleId="GridTable6Colorful-Accent2">
    <w:name w:val="Grid Table 6 Colorful - Accent 2"/>
    <w:basedOn w:val="Tabellanormale"/>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ED7D31"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6Colorful-Accent3">
    <w:name w:val="Grid Table 6 Colorful - Accent 3"/>
    <w:basedOn w:val="Tabellanormale"/>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6Colorful-Accent4">
    <w:name w:val="Grid Table 6 Colorful - Accent 4"/>
    <w:basedOn w:val="Tabellanormale"/>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C000"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6Colorful-Accent5">
    <w:name w:val="Grid Table 6 Colorful - Accent 5"/>
    <w:basedOn w:val="Tabellanormale"/>
    <w:uiPriority w:val="99"/>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A8D" w:themeColor="accent5" w:themeShade="95"/>
      </w:rPr>
      <w:tblPr/>
      <w:tcPr>
        <w:tcBorders>
          <w:bottom w:val="single" w:color="5B9BD5" w:themeColor="accent5" w:sz="12" w:space="0"/>
        </w:tcBorders>
      </w:tcPr>
    </w:tblStylePr>
    <w:tblStylePr w:type="lastRow">
      <w:rPr>
        <w:b/>
        <w:color w:val="245A8D" w:themeColor="accent5" w:themeShade="95"/>
      </w:rPr>
      <w:tblPr/>
    </w:tblStylePr>
    <w:tblStylePr w:type="firstCol">
      <w:rPr>
        <w:b/>
        <w:color w:val="245A8D" w:themeColor="accent5" w:themeShade="95"/>
      </w:rPr>
      <w:tblPr/>
    </w:tblStylePr>
    <w:tblStylePr w:type="lastCol">
      <w:rPr>
        <w:b/>
        <w:color w:val="245A8D" w:themeColor="accent5" w:themeShade="95"/>
      </w:rPr>
      <w:tbl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Pr/>
    </w:tblStylePr>
  </w:style>
  <w:style w:type="table" w:customStyle="1" w:styleId="GridTable6Colorful-Accent6">
    <w:name w:val="Grid Table 6 Colorful - Accent 6"/>
    <w:basedOn w:val="Tabellanormale"/>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A8D" w:themeColor="accent5" w:themeShade="95"/>
      </w:rPr>
      <w:tblPr/>
      <w:tcPr>
        <w:tcBorders>
          <w:bottom w:val="single" w:color="70AD47" w:themeColor="accent6" w:sz="12" w:space="0"/>
        </w:tcBorders>
      </w:tcPr>
    </w:tblStylePr>
    <w:tblStylePr w:type="lastRow">
      <w:rPr>
        <w:b/>
        <w:color w:val="245A8D" w:themeColor="accent5" w:themeShade="95"/>
      </w:rPr>
      <w:tblPr/>
    </w:tblStylePr>
    <w:tblStylePr w:type="firstCol">
      <w:rPr>
        <w:b/>
        <w:color w:val="245A8D" w:themeColor="accent5" w:themeShade="95"/>
      </w:rPr>
      <w:tblPr/>
    </w:tblStylePr>
    <w:tblStylePr w:type="lastCol">
      <w:rPr>
        <w:b/>
        <w:color w:val="245A8D" w:themeColor="accent5" w:themeShade="95"/>
      </w:rPr>
      <w:tbl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Pr/>
    </w:tblStylePr>
  </w:style>
  <w:style w:type="table" w:styleId="Tabellagriglia7acolori">
    <w:name w:val="Grid Table 7 Colorful"/>
    <w:basedOn w:val="Tabellanormale"/>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Tabellanormale"/>
    <w:uiPriority w:val="99"/>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val="A0B7E1" w:themeColor="accent1" w:themeTint="80" w:themeShade="95"/>
        <w:sz w:val="22"/>
      </w:rPr>
      <w:tblPr/>
      <w:tcPr>
        <w:tcBorders>
          <w:top w:val="none" w:color="auto" w:sz="0" w:space="0"/>
          <w:left w:val="none" w:color="auto" w:sz="0" w:space="0"/>
          <w:bottom w:val="single" w:color="4472C4" w:themeColor="accent1" w:sz="4" w:space="0"/>
          <w:right w:val="none" w:color="auto" w:sz="0" w:space="0"/>
        </w:tcBorders>
        <w:shd w:val="clear" w:color="FFFFFF" w:fill="FFFFFF" w:themeFill="light1"/>
      </w:tcPr>
    </w:tblStylePr>
    <w:tblStylePr w:type="lastRow">
      <w:rPr>
        <w:b/>
        <w:color w:val="A0B7E1" w:themeColor="accent1" w:themeTint="80" w:themeShade="95"/>
        <w:sz w:val="22"/>
      </w:rPr>
      <w:tblPr/>
      <w:tcPr>
        <w:tcBorders>
          <w:top w:val="single" w:color="4472C4"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0B7E1" w:themeColor="accent1" w:themeTint="80" w:themeShade="95"/>
        <w:sz w:val="22"/>
      </w:rPr>
      <w:tblPr/>
      <w:tcPr>
        <w:tcBorders>
          <w:top w:val="none" w:color="auto" w:sz="0" w:space="0"/>
          <w:left w:val="none" w:color="auto" w:sz="0" w:space="0"/>
          <w:bottom w:val="none" w:color="auto" w:sz="0" w:space="0"/>
          <w:right w:val="single" w:color="4472C4" w:themeColor="accent1" w:sz="4" w:space="0"/>
        </w:tcBorders>
        <w:shd w:val="clear" w:color="FFFFFF" w:fill="auto"/>
      </w:tcPr>
    </w:tblStylePr>
    <w:tblStylePr w:type="lastCol">
      <w:rPr>
        <w:i/>
        <w:color w:val="A0B7E1" w:themeColor="accent1" w:themeTint="80" w:themeShade="95"/>
        <w:sz w:val="22"/>
      </w:rPr>
      <w:tblPr/>
      <w:tcPr>
        <w:tcBorders>
          <w:top w:val="none" w:color="auto" w:sz="0" w:space="0"/>
          <w:left w:val="single" w:color="4472C4" w:themeColor="accent1" w:sz="4" w:space="0"/>
          <w:bottom w:val="none" w:color="auto" w:sz="0" w:space="0"/>
          <w:right w:val="none" w:color="auto" w:sz="0" w:space="0"/>
        </w:tcBorders>
        <w:shd w:val="clear" w:color="FFFFFF" w:fill="auto"/>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Pr/>
    </w:tblStylePr>
  </w:style>
  <w:style w:type="table" w:customStyle="1" w:styleId="GridTable7Colorful-Accent2">
    <w:name w:val="Grid Table 7 Colorful - Accent 2"/>
    <w:basedOn w:val="Tabellanormale"/>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sz w:val="22"/>
      </w:rPr>
      <w:tblPr/>
      <w:tcPr>
        <w:tcBorders>
          <w:top w:val="none" w:color="auto" w:sz="0" w:space="0"/>
          <w:left w:val="none" w:color="auto" w:sz="0" w:space="0"/>
          <w:bottom w:val="single" w:color="ED7D31" w:themeColor="accent2" w:sz="4" w:space="0"/>
          <w:right w:val="none" w:color="auto" w:sz="0" w:space="0"/>
        </w:tcBorders>
        <w:shd w:val="clear" w:color="FFFFFF" w:fill="FFFFFF" w:themeFill="light1"/>
      </w:tcPr>
    </w:tblStylePr>
    <w:tblStylePr w:type="lastRow">
      <w:rPr>
        <w:b/>
        <w:color w:val="F4B184" w:themeColor="accent2" w:themeTint="97" w:themeShade="95"/>
        <w:sz w:val="22"/>
      </w:rPr>
      <w:tblPr/>
      <w:tcPr>
        <w:tcBorders>
          <w:top w:val="single" w:color="ED7D31"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ED7D31"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ED7D31" w:themeColor="accent2" w:sz="4" w:space="0"/>
          <w:bottom w:val="none" w:color="auto" w:sz="0" w:space="0"/>
          <w:right w:val="none" w:color="auto" w:sz="0" w:space="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7Colorful-Accent3">
    <w:name w:val="Grid Table 7 Colorful - Accent 3"/>
    <w:basedOn w:val="Tabellanormale"/>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5A5A5"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A5A5A5"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7Colorful-Accent4">
    <w:name w:val="Grid Table 7 Colorful - Accent 4"/>
    <w:basedOn w:val="Tabellanormale"/>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sz w:val="22"/>
      </w:rPr>
      <w:tblPr/>
      <w:tcPr>
        <w:tcBorders>
          <w:top w:val="none" w:color="auto" w:sz="0" w:space="0"/>
          <w:left w:val="none" w:color="auto" w:sz="0" w:space="0"/>
          <w:bottom w:val="single" w:color="FFC000" w:themeColor="accent4" w:sz="4" w:space="0"/>
          <w:right w:val="none" w:color="auto" w:sz="0" w:space="0"/>
        </w:tcBorders>
        <w:shd w:val="clear" w:color="FFFFFF" w:fill="FFFFFF" w:themeFill="light1"/>
      </w:tcPr>
    </w:tblStylePr>
    <w:tblStylePr w:type="lastRow">
      <w:rPr>
        <w:b/>
        <w:color w:val="FFD865" w:themeColor="accent4" w:themeTint="9a" w:themeShade="95"/>
        <w:sz w:val="22"/>
      </w:rPr>
      <w:tblPr/>
      <w:tcPr>
        <w:tcBorders>
          <w:top w:val="single" w:color="FFC000"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C000"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C000" w:themeColor="accent4" w:sz="4" w:space="0"/>
          <w:bottom w:val="none" w:color="auto" w:sz="0" w:space="0"/>
          <w:right w:val="none" w:color="auto" w:sz="0" w:space="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7Colorful-Accent5">
    <w:name w:val="Grid Table 7 Colorful - Accent 5"/>
    <w:basedOn w:val="Tabellanormale"/>
    <w:uiPriority w:val="99"/>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b/>
        <w:color w:val="245A8D" w:themeColor="accent5" w:themeShade="95"/>
        <w:sz w:val="22"/>
      </w:rPr>
      <w:tblPr/>
      <w:tcPr>
        <w:tcBorders>
          <w:top w:val="none" w:color="auto" w:sz="0" w:space="0"/>
          <w:left w:val="none" w:color="auto" w:sz="0" w:space="0"/>
          <w:bottom w:val="single" w:color="5B9BD5" w:themeColor="accent5" w:sz="4" w:space="0"/>
          <w:right w:val="none" w:color="auto" w:sz="0" w:space="0"/>
        </w:tcBorders>
        <w:shd w:val="clear" w:color="FFFFFF" w:fill="FFFFFF" w:themeFill="light1"/>
      </w:tcPr>
    </w:tblStylePr>
    <w:tblStylePr w:type="lastRow">
      <w:rPr>
        <w:b/>
        <w:color w:val="245A8D" w:themeColor="accent5" w:themeShade="95"/>
        <w:sz w:val="22"/>
      </w:rPr>
      <w:tblPr/>
      <w:tcPr>
        <w:tcBorders>
          <w:top w:val="single" w:color="5B9BD5"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45A8D" w:themeColor="accent5" w:themeShade="95"/>
        <w:sz w:val="22"/>
      </w:rPr>
      <w:tblPr/>
      <w:tcPr>
        <w:tcBorders>
          <w:top w:val="none" w:color="auto" w:sz="0" w:space="0"/>
          <w:left w:val="none" w:color="auto" w:sz="0" w:space="0"/>
          <w:bottom w:val="none" w:color="auto" w:sz="0" w:space="0"/>
          <w:right w:val="single" w:color="5B9BD5" w:themeColor="accent5" w:sz="4" w:space="0"/>
        </w:tcBorders>
        <w:shd w:val="clear" w:color="FFFFFF" w:fill="auto"/>
      </w:tcPr>
    </w:tblStylePr>
    <w:tblStylePr w:type="lastCol">
      <w:rPr>
        <w:i/>
        <w:color w:val="245A8D" w:themeColor="accent5" w:themeShade="95"/>
        <w:sz w:val="22"/>
      </w:rPr>
      <w:tblPr/>
      <w:tcPr>
        <w:tcBorders>
          <w:top w:val="none" w:color="auto" w:sz="0" w:space="0"/>
          <w:left w:val="single" w:color="5B9BD5" w:themeColor="accent5" w:sz="4" w:space="0"/>
          <w:bottom w:val="none" w:color="auto" w:sz="0" w:space="0"/>
          <w:right w:val="none" w:color="auto" w:sz="0" w:space="0"/>
        </w:tcBorders>
        <w:shd w:val="clear" w:color="FFFFFF" w:fill="auto"/>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Pr/>
    </w:tblStylePr>
  </w:style>
  <w:style w:type="table" w:customStyle="1" w:styleId="GridTable7Colorful-Accent6">
    <w:name w:val="Grid Table 7 Colorful - Accent 6"/>
    <w:basedOn w:val="Tabellanormale"/>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416429" w:themeColor="accent6" w:themeShade="95"/>
        <w:sz w:val="22"/>
      </w:rPr>
      <w:tblPr/>
      <w:tcPr>
        <w:tcBorders>
          <w:top w:val="none" w:color="auto" w:sz="0" w:space="0"/>
          <w:left w:val="none" w:color="auto" w:sz="0" w:space="0"/>
          <w:bottom w:val="single" w:color="70AD47" w:themeColor="accent6" w:sz="4" w:space="0"/>
          <w:right w:val="none" w:color="auto" w:sz="0" w:space="0"/>
        </w:tcBorders>
        <w:shd w:val="clear" w:color="FFFFFF" w:fill="FFFFFF" w:themeFill="light1"/>
      </w:tcPr>
    </w:tblStylePr>
    <w:tblStylePr w:type="lastRow">
      <w:rPr>
        <w:b/>
        <w:color w:val="416429" w:themeColor="accent6" w:themeShade="95"/>
        <w:sz w:val="22"/>
      </w:rPr>
      <w:tblPr/>
      <w:tcPr>
        <w:tcBorders>
          <w:top w:val="single" w:color="70AD47"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416429" w:themeColor="accent6" w:themeShade="95"/>
        <w:sz w:val="22"/>
      </w:rPr>
      <w:tblPr/>
      <w:tcPr>
        <w:tcBorders>
          <w:top w:val="none" w:color="auto" w:sz="0" w:space="0"/>
          <w:left w:val="none" w:color="auto" w:sz="0" w:space="0"/>
          <w:bottom w:val="none" w:color="auto" w:sz="0" w:space="0"/>
          <w:right w:val="single" w:color="70AD47" w:themeColor="accent6" w:sz="4" w:space="0"/>
        </w:tcBorders>
        <w:shd w:val="clear" w:color="FFFFFF" w:fill="auto"/>
      </w:tcPr>
    </w:tblStylePr>
    <w:tblStylePr w:type="lastCol">
      <w:rPr>
        <w:i/>
        <w:color w:val="416429" w:themeColor="accent6" w:themeShade="95"/>
        <w:sz w:val="22"/>
      </w:rPr>
      <w:tblPr/>
      <w:tcPr>
        <w:tcBorders>
          <w:top w:val="none" w:color="auto" w:sz="0" w:space="0"/>
          <w:left w:val="single" w:color="70AD47" w:themeColor="accent6" w:sz="4" w:space="0"/>
          <w:bottom w:val="none" w:color="auto" w:sz="0" w:space="0"/>
          <w:right w:val="none" w:color="auto" w:sz="0" w:space="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styleId="Tabellaelenco1chiara">
    <w:name w:val="List Table 1 Light"/>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1" w:sz="4" w:space="0"/>
          <w:right w:val="none" w:color="000000" w:sz="4" w:space="0"/>
        </w:tcBorders>
      </w:tcPr>
    </w:tblStylePr>
    <w:tblStylePr w:type="lastRow">
      <w:rPr>
        <w:b/>
        <w:color w:val="404040"/>
      </w:rPr>
      <w:tblPr/>
      <w:tcPr>
        <w:tcBorders>
          <w:top w:val="single" w:color="4472C4"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5" w:sz="4" w:space="0"/>
          <w:right w:val="none" w:color="000000" w:sz="4" w:space="0"/>
        </w:tcBorders>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Tabellaelenco2">
    <w:name w:val="List Table 2"/>
    <w:basedOn w:val="Tabellanormale"/>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ellanormale"/>
    <w:uiPriority w:val="99"/>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b/>
        <w:color w:val="404040"/>
        <w:sz w:val="22"/>
      </w:rPr>
      <w:tblPr/>
      <w:tcPr>
        <w:tcBorders>
          <w:top w:val="single" w:color="4472C4" w:themeColor="accent1" w:sz="4" w:space="0"/>
          <w:left w:val="none" w:color="000000" w:sz="4" w:space="0"/>
          <w:bottom w:val="single" w:color="4472C4" w:themeColor="accent1" w:sz="4" w:space="0"/>
          <w:right w:val="none" w:color="000000" w:sz="4" w:space="0"/>
        </w:tcBorders>
      </w:tcPr>
    </w:tblStylePr>
    <w:tblStylePr w:type="lastRow">
      <w:rPr>
        <w:b/>
        <w:color w:val="404040"/>
        <w:sz w:val="22"/>
      </w:rPr>
      <w:tblPr/>
      <w:tcPr>
        <w:tcBorders>
          <w:top w:val="single" w:color="4472C4" w:themeColor="accent1" w:sz="4" w:space="0"/>
          <w:left w:val="none" w:color="000000" w:sz="4" w:space="0"/>
          <w:bottom w:val="single" w:color="4472C4"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2-Accent2">
    <w:name w:val="List Table 2 - Accent 2"/>
    <w:basedOn w:val="Tabellanormale"/>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color w:val="404040"/>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lastRow">
      <w:rPr>
        <w:b/>
        <w:color w:val="404040"/>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Tabellanormale"/>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color w:val="404040"/>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lastRow">
      <w:rPr>
        <w:b/>
        <w:color w:val="404040"/>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Tabellanormale"/>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color w:val="404040"/>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lastRow">
      <w:rPr>
        <w:b/>
        <w:color w:val="404040"/>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Tabellanormale"/>
    <w:uiPriority w:val="99"/>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b/>
        <w:color w:val="404040"/>
        <w:sz w:val="22"/>
      </w:rPr>
      <w:tblPr/>
      <w:tcPr>
        <w:tcBorders>
          <w:top w:val="single" w:color="5B9BD5" w:themeColor="accent5" w:sz="4" w:space="0"/>
          <w:left w:val="none" w:color="000000" w:sz="4" w:space="0"/>
          <w:bottom w:val="single" w:color="5B9BD5" w:themeColor="accent5" w:sz="4" w:space="0"/>
          <w:right w:val="none" w:color="000000" w:sz="4" w:space="0"/>
        </w:tcBorders>
      </w:tcPr>
    </w:tblStylePr>
    <w:tblStylePr w:type="lastRow">
      <w:rPr>
        <w:b/>
        <w:color w:val="404040"/>
        <w:sz w:val="22"/>
      </w:rPr>
      <w:tblPr/>
      <w:tcPr>
        <w:tcBorders>
          <w:top w:val="single" w:color="5B9BD5" w:themeColor="accent5" w:sz="4" w:space="0"/>
          <w:left w:val="none" w:color="000000" w:sz="4" w:space="0"/>
          <w:bottom w:val="single" w:color="5B9BD5"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2-Accent6">
    <w:name w:val="List Table 2 - Accent 6"/>
    <w:basedOn w:val="Tabellanormale"/>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color w:val="404040"/>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lastRow">
      <w:rPr>
        <w:b/>
        <w:color w:val="404040"/>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Elencotab3">
    <w:name w:val="List Table 3"/>
    <w:basedOn w:val="Tabellanormale"/>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Tabellanormale"/>
    <w:uiPriority w:val="99"/>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color w:val="FFFFFF"/>
        <w:sz w:val="22"/>
      </w:rPr>
      <w:tblPr/>
      <w:tcPr>
        <w:shd w:val="clear" w:color="4472C4" w:fill="4472C4"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472C4" w:themeColor="accent1" w:sz="4" w:space="0"/>
          <w:right w:val="single" w:color="4472C4" w:themeColor="accent1" w:sz="4" w:space="0"/>
        </w:tcBorders>
      </w:tcPr>
    </w:tblStylePr>
    <w:tblStylePr w:type="band1Horz">
      <w:rPr>
        <w:color w:val="404040"/>
        <w:sz w:val="22"/>
      </w:rPr>
      <w:tblPr/>
      <w:tcPr>
        <w:tcBorders>
          <w:top w:val="single" w:color="4472C4" w:themeColor="accent1" w:sz="4" w:space="0"/>
          <w:bottom w:val="single" w:color="4472C4" w:themeColor="accent1" w:sz="4" w:space="0"/>
        </w:tcBorders>
      </w:tcPr>
    </w:tblStylePr>
  </w:style>
  <w:style w:type="table" w:customStyle="1" w:styleId="ListTable3-Accent2">
    <w:name w:val="List Table 3 - Accent 2"/>
    <w:basedOn w:val="Tabellanormale"/>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ED7D31" w:themeColor="accent2" w:sz="4" w:space="0"/>
          <w:right w:val="single" w:color="ED7D31" w:themeColor="accent2" w:sz="4" w:space="0"/>
        </w:tcBorders>
      </w:tcPr>
    </w:tblStylePr>
    <w:tblStylePr w:type="band1Horz">
      <w:rPr>
        <w:color w:val="404040"/>
        <w:sz w:val="22"/>
      </w:rPr>
      <w:tblPr/>
      <w:tcPr>
        <w:tcBorders>
          <w:top w:val="single" w:color="ED7D31" w:themeColor="accent2" w:sz="4" w:space="0"/>
          <w:bottom w:val="single" w:color="ED7D31" w:themeColor="accent2" w:sz="4" w:space="0"/>
        </w:tcBorders>
      </w:tcPr>
    </w:tblStylePr>
  </w:style>
  <w:style w:type="table" w:customStyle="1" w:styleId="ListTable3-Accent3">
    <w:name w:val="List Table 3 - Accent 3"/>
    <w:basedOn w:val="Tabellanormale"/>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5A5A5" w:themeColor="accent3" w:sz="4" w:space="0"/>
          <w:right w:val="single" w:color="A5A5A5" w:themeColor="accent3" w:sz="4" w:space="0"/>
        </w:tcBorders>
      </w:tcPr>
    </w:tblStylePr>
    <w:tblStylePr w:type="band1Horz">
      <w:rPr>
        <w:color w:val="404040"/>
        <w:sz w:val="22"/>
      </w:rPr>
      <w:tblPr/>
      <w:tcPr>
        <w:tcBorders>
          <w:top w:val="single" w:color="A5A5A5" w:themeColor="accent3" w:sz="4" w:space="0"/>
          <w:bottom w:val="single" w:color="A5A5A5" w:themeColor="accent3" w:sz="4" w:space="0"/>
        </w:tcBorders>
      </w:tcPr>
    </w:tblStylePr>
  </w:style>
  <w:style w:type="table" w:customStyle="1" w:styleId="ListTable3-Accent4">
    <w:name w:val="List Table 3 - Accent 4"/>
    <w:basedOn w:val="Tabellanormale"/>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C000" w:themeColor="accent4" w:sz="4" w:space="0"/>
          <w:right w:val="single" w:color="FFC000" w:themeColor="accent4" w:sz="4" w:space="0"/>
        </w:tcBorders>
      </w:tcPr>
    </w:tblStylePr>
    <w:tblStylePr w:type="band1Horz">
      <w:rPr>
        <w:color w:val="404040"/>
        <w:sz w:val="22"/>
      </w:rPr>
      <w:tblPr/>
      <w:tcPr>
        <w:tcBorders>
          <w:top w:val="single" w:color="FFC000" w:themeColor="accent4" w:sz="4" w:space="0"/>
          <w:bottom w:val="single" w:color="FFC000" w:themeColor="accent4" w:sz="4" w:space="0"/>
        </w:tcBorders>
      </w:tcPr>
    </w:tblStylePr>
  </w:style>
  <w:style w:type="table" w:customStyle="1" w:styleId="ListTable3-Accent5">
    <w:name w:val="List Table 3 - Accent 5"/>
    <w:basedOn w:val="Tabellanormale"/>
    <w:uiPriority w:val="99"/>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b/>
        <w:color w:val="FFFFFF"/>
        <w:sz w:val="22"/>
      </w:rPr>
      <w:tblPr/>
      <w:tcPr>
        <w:shd w:val="clear" w:color="9BC2E5" w:fill="9BC2E5"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5B9BD5" w:themeColor="accent5" w:sz="4" w:space="0"/>
          <w:right w:val="single" w:color="5B9BD5" w:themeColor="accent5" w:sz="4" w:space="0"/>
        </w:tcBorders>
      </w:tcPr>
    </w:tblStylePr>
    <w:tblStylePr w:type="band1Horz">
      <w:rPr>
        <w:color w:val="404040"/>
        <w:sz w:val="22"/>
      </w:rPr>
      <w:tblPr/>
      <w:tcPr>
        <w:tcBorders>
          <w:top w:val="single" w:color="5B9BD5" w:themeColor="accent5" w:sz="4" w:space="0"/>
          <w:bottom w:val="single" w:color="5B9BD5" w:themeColor="accent5" w:sz="4" w:space="0"/>
        </w:tcBorders>
      </w:tcPr>
    </w:tblStylePr>
  </w:style>
  <w:style w:type="table" w:customStyle="1" w:styleId="ListTable3-Accent6">
    <w:name w:val="List Table 3 - Accent 6"/>
    <w:basedOn w:val="Tabellanormale"/>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70AD47" w:themeColor="accent6" w:sz="4" w:space="0"/>
          <w:right w:val="single" w:color="70AD47" w:themeColor="accent6" w:sz="4" w:space="0"/>
        </w:tcBorders>
      </w:tcPr>
    </w:tblStylePr>
    <w:tblStylePr w:type="band1Horz">
      <w:rPr>
        <w:color w:val="404040"/>
        <w:sz w:val="22"/>
      </w:rPr>
      <w:tblPr/>
      <w:tcPr>
        <w:tcBorders>
          <w:top w:val="single" w:color="70AD47" w:themeColor="accent6" w:sz="4" w:space="0"/>
          <w:bottom w:val="single" w:color="70AD47" w:themeColor="accent6" w:sz="4" w:space="0"/>
        </w:tcBorders>
      </w:tcPr>
    </w:tblStylePr>
  </w:style>
  <w:style w:type="table" w:styleId="Elencotab4">
    <w:name w:val="List Table 4"/>
    <w:basedOn w:val="Tabellanormale"/>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ellanormale"/>
    <w:uiPriority w:val="9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b/>
        <w:color w:val="FFFFFF"/>
        <w:sz w:val="22"/>
      </w:rPr>
      <w:tblPr/>
      <w:tcPr>
        <w:shd w:val="clear" w:color="4472C4" w:fill="4472C4"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4-Accent2">
    <w:name w:val="List Table 4 - Accent 2"/>
    <w:basedOn w:val="Tabellanormale"/>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Tabellanormale"/>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Tabellanormale"/>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Tabellanormale"/>
    <w:uiPriority w:val="9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b/>
        <w:color w:val="FFFFFF"/>
        <w:sz w:val="22"/>
      </w:rPr>
      <w:tblPr/>
      <w:tcPr>
        <w:shd w:val="clear" w:color="5B9BD5" w:fill="5B9BD5"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4-Accent6">
    <w:name w:val="List Table 4 - Accent 6"/>
    <w:basedOn w:val="Tabellanormale"/>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Tabellaelenco5scura">
    <w:name w:val="List Table 5 Dark"/>
    <w:basedOn w:val="Tabellanormale"/>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Tabellanormale"/>
    <w:uiPriority w:val="99"/>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b/>
        <w:color w:val="FFFFFF" w:themeColor="light1"/>
        <w:sz w:val="22"/>
      </w:rPr>
      <w:tblPr/>
      <w:tcPr>
        <w:tcBorders>
          <w:top w:val="single" w:color="4472C4" w:themeColor="accent1" w:sz="32" w:space="0"/>
          <w:bottom w:val="single" w:color="FFFFFF" w:themeColor="light1" w:sz="12" w:space="0"/>
        </w:tcBorders>
        <w:shd w:val="clear" w:color="4472C4" w:fill="4472C4" w:themeFill="accent1"/>
      </w:tcPr>
    </w:tblStylePr>
    <w:tblStylePr w:type="lastRow">
      <w:rPr>
        <w:b/>
        <w:color w:val="FFFFFF" w:themeColor="light1"/>
        <w:sz w:val="22"/>
      </w:rPr>
      <w:tblPr/>
    </w:tblStylePr>
    <w:tblStylePr w:type="firstCol">
      <w:rPr>
        <w:b/>
        <w:color w:val="FFFFFF" w:themeColor="light1"/>
        <w:sz w:val="22"/>
      </w:rPr>
      <w:tblPr/>
      <w:tcPr>
        <w:tcBorders>
          <w:left w:val="single" w:color="4472C4" w:themeColor="accent1" w:sz="32" w:space="0"/>
          <w:right w:val="single" w:color="FFFFFF" w:themeColor="light1" w:sz="4" w:space="0"/>
        </w:tcBorders>
      </w:tcPr>
    </w:tblStylePr>
    <w:tblStylePr w:type="lastCol">
      <w:tblPr/>
      <w:tcPr>
        <w:tcBorders>
          <w:left w:val="single" w:color="FFFFFF" w:themeColor="light1" w:sz="4" w:space="0"/>
          <w:right w:val="single" w:color="4472C4" w:themeColor="accent1" w:sz="32" w:space="0"/>
        </w:tcBorders>
      </w:tcPr>
    </w:tblStylePr>
    <w:tblStylePr w:type="band1Vert">
      <w:tblPr/>
      <w:tcPr>
        <w:tcBorders>
          <w:left w:val="single" w:color="FFFFFF" w:themeColor="light1" w:sz="4" w:space="0"/>
          <w:right w:val="single" w:color="FFFFFF" w:themeColor="light1" w:sz="4" w:space="0"/>
        </w:tcBorders>
        <w:shd w:val="clear" w:color="4472C4" w:fill="4472C4"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472C4" w:fill="4472C4" w:themeFill="accent1"/>
      </w:tcPr>
    </w:tblStylePr>
    <w:tblStylePr w:type="band2Horz">
      <w:tblPr/>
      <w:tcPr>
        <w:tcBorders>
          <w:top w:val="single" w:color="FFFFFF" w:themeColor="light1" w:sz="4" w:space="0"/>
          <w:bottom w:val="single" w:color="FFFFFF" w:themeColor="light1" w:sz="4" w:space="0"/>
        </w:tcBorders>
        <w:shd w:val="clear" w:color="4472C4" w:fill="4472C4" w:themeFill="accent1"/>
      </w:tcPr>
    </w:tblStylePr>
  </w:style>
  <w:style w:type="table" w:customStyle="1" w:styleId="ListTable5Dark-Accent2">
    <w:name w:val="List Table 5 Dark - Accent 2"/>
    <w:basedOn w:val="Tabellanormale"/>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val="FFFFFF" w:themeColor="light1"/>
        <w:sz w:val="22"/>
      </w:rPr>
      <w:tblPr/>
      <w:tcPr>
        <w:tcBorders>
          <w:top w:val="single" w:color="ED7D31"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ED7D31" w:themeColor="accent2" w:sz="32" w:space="0"/>
          <w:right w:val="single" w:color="FFFFFF" w:themeColor="light1" w:sz="4" w:space="0"/>
        </w:tcBorders>
      </w:tcPr>
    </w:tblStylePr>
    <w:tblStylePr w:type="lastCol">
      <w:tblPr/>
      <w:tcPr>
        <w:tcBorders>
          <w:left w:val="single" w:color="FFFFFF" w:themeColor="light1" w:sz="4" w:space="0"/>
          <w:right w:val="single" w:color="ED7D31"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Tabellanormale"/>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val="FFFFFF" w:themeColor="light1"/>
        <w:sz w:val="22"/>
      </w:rPr>
      <w:tblPr/>
      <w:tcPr>
        <w:tcBorders>
          <w:top w:val="single" w:color="A5A5A5"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A5A5A5" w:themeColor="accent3" w:sz="32" w:space="0"/>
          <w:right w:val="single" w:color="FFFFFF" w:themeColor="light1" w:sz="4" w:space="0"/>
        </w:tcBorders>
      </w:tcPr>
    </w:tblStylePr>
    <w:tblStylePr w:type="lastCol">
      <w:tblPr/>
      <w:tcPr>
        <w:tcBorders>
          <w:left w:val="single" w:color="FFFFFF" w:themeColor="light1" w:sz="4" w:space="0"/>
          <w:right w:val="single" w:color="A5A5A5"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Tabellanormale"/>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val="FFFFFF" w:themeColor="light1"/>
        <w:sz w:val="22"/>
      </w:rPr>
      <w:tblPr/>
      <w:tcPr>
        <w:tcBorders>
          <w:top w:val="single" w:color="FFC000"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C000" w:themeColor="accent4" w:sz="32" w:space="0"/>
          <w:right w:val="single" w:color="FFFFFF" w:themeColor="light1" w:sz="4" w:space="0"/>
        </w:tcBorders>
      </w:tcPr>
    </w:tblStylePr>
    <w:tblStylePr w:type="lastCol">
      <w:tblPr/>
      <w:tcPr>
        <w:tcBorders>
          <w:left w:val="single" w:color="FFFFFF" w:themeColor="light1" w:sz="4" w:space="0"/>
          <w:right w:val="single" w:color="FFC000"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Tabellanormale"/>
    <w:uiPriority w:val="99"/>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b/>
        <w:color w:val="FFFFFF" w:themeColor="light1"/>
        <w:sz w:val="22"/>
      </w:rPr>
      <w:tblPr/>
      <w:tcPr>
        <w:tcBorders>
          <w:top w:val="single" w:color="5B9BD5" w:themeColor="accent5" w:sz="32" w:space="0"/>
          <w:bottom w:val="single" w:color="FFFFFF" w:themeColor="light1" w:sz="12" w:space="0"/>
        </w:tcBorders>
        <w:shd w:val="clear" w:color="9BC2E5" w:fill="9BC2E5"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5B9BD5" w:themeColor="accent5" w:sz="32" w:space="0"/>
          <w:right w:val="single" w:color="FFFFFF" w:themeColor="light1" w:sz="4" w:space="0"/>
        </w:tcBorders>
      </w:tcPr>
    </w:tblStylePr>
    <w:tblStylePr w:type="lastCol">
      <w:tblPr/>
      <w:tcPr>
        <w:tcBorders>
          <w:left w:val="single" w:color="FFFFFF" w:themeColor="light1" w:sz="4" w:space="0"/>
          <w:right w:val="single" w:color="5B9BD5" w:themeColor="accent5" w:sz="32" w:space="0"/>
        </w:tcBorders>
      </w:tcPr>
    </w:tblStylePr>
    <w:tblStylePr w:type="band1Vert">
      <w:tblPr/>
      <w:tcPr>
        <w:tcBorders>
          <w:left w:val="single" w:color="FFFFFF" w:themeColor="light1" w:sz="4" w:space="0"/>
          <w:right w:val="single" w:color="FFFFFF" w:themeColor="light1" w:sz="4" w:space="0"/>
        </w:tcBorders>
        <w:shd w:val="clear" w:color="9BC2E5" w:fill="9BC2E5"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BC2E5" w:fill="9BC2E5" w:themeFill="accent5" w:themeFillTint="9a"/>
      </w:tcPr>
    </w:tblStylePr>
    <w:tblStylePr w:type="band2Horz">
      <w:tblPr/>
      <w:tcPr>
        <w:tcBorders>
          <w:top w:val="single" w:color="FFFFFF" w:themeColor="light1" w:sz="4" w:space="0"/>
          <w:bottom w:val="single" w:color="FFFFFF" w:themeColor="light1" w:sz="4" w:space="0"/>
        </w:tcBorders>
        <w:shd w:val="clear" w:color="9BC2E5" w:fill="9BC2E5" w:themeFill="accent5" w:themeFillTint="9a"/>
      </w:tcPr>
    </w:tblStylePr>
  </w:style>
  <w:style w:type="table" w:customStyle="1" w:styleId="ListTable5Dark-Accent6">
    <w:name w:val="List Table 5 Dark - Accent 6"/>
    <w:basedOn w:val="Tabellanormale"/>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val="FFFFFF" w:themeColor="light1"/>
        <w:sz w:val="22"/>
      </w:rPr>
      <w:tblPr/>
      <w:tcPr>
        <w:tcBorders>
          <w:top w:val="single" w:color="70AD47"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70AD47" w:themeColor="accent6" w:sz="32" w:space="0"/>
          <w:right w:val="single" w:color="FFFFFF" w:themeColor="light1" w:sz="4" w:space="0"/>
        </w:tcBorders>
      </w:tcPr>
    </w:tblStylePr>
    <w:tblStylePr w:type="lastCol">
      <w:tblPr/>
      <w:tcPr>
        <w:tcBorders>
          <w:left w:val="single" w:color="FFFFFF" w:themeColor="light1" w:sz="4" w:space="0"/>
          <w:right w:val="single" w:color="70AD47"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styleId="Tabellaelenco6acolori">
    <w:name w:val="List Table 6 Colorful"/>
    <w:basedOn w:val="Tabellanormale"/>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000000" w:themeColor="text1" w:sz="4" w:space="0"/>
        </w:tcBorders>
      </w:tcPr>
    </w:tblStylePr>
    <w:tblStylePr w:type="lastRow">
      <w:rPr>
        <w:b/>
        <w:color w:val="000000" w:themeColor="text1"/>
      </w:rPr>
      <w:tblPr/>
      <w:tcPr>
        <w:tcBorders>
          <w:top w:val="single" w:color="000000"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Tabellanormale"/>
    <w:uiPriority w:val="99"/>
    <w:tblPr>
      <w:tblStyleRowBandSize w:val="1"/>
      <w:tblStyleColBandSize w:val="1"/>
      <w:tblBorders>
        <w:top w:val="single" w:color="4472C4" w:themeColor="accent1" w:sz="4" w:space="0"/>
        <w:bottom w:val="single" w:color="4472C4" w:themeColor="accent1" w:sz="4" w:space="0"/>
      </w:tblBorders>
    </w:tblPr>
    <w:tblStylePr w:type="firstRow">
      <w:rPr>
        <w:b/>
        <w:color w:val="254175" w:themeColor="accent1" w:themeShade="95"/>
      </w:rPr>
      <w:tblPr/>
      <w:tcPr>
        <w:tcBorders>
          <w:bottom w:val="single" w:color="4472C4" w:themeColor="accent1" w:sz="4" w:space="0"/>
        </w:tcBorders>
      </w:tcPr>
    </w:tblStylePr>
    <w:tblStylePr w:type="lastRow">
      <w:rPr>
        <w:b/>
        <w:color w:val="254175" w:themeColor="accent1" w:themeShade="95"/>
      </w:rPr>
      <w:tblPr/>
      <w:tcPr>
        <w:tcBorders>
          <w:top w:val="single" w:color="4472C4" w:themeColor="accent1" w:sz="4" w:space="0"/>
        </w:tcBorders>
      </w:tcPr>
    </w:tblStylePr>
    <w:tblStylePr w:type="firstCol">
      <w:rPr>
        <w:b/>
        <w:color w:val="254175" w:themeColor="accent1" w:themeShade="95"/>
      </w:rPr>
      <w:tblPr/>
    </w:tblStylePr>
    <w:tblStylePr w:type="lastCol">
      <w:rPr>
        <w:b/>
        <w:color w:val="254175" w:themeColor="accent1" w:themeShade="95"/>
      </w:rPr>
      <w:tbl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Pr/>
    </w:tblStylePr>
  </w:style>
  <w:style w:type="table" w:customStyle="1" w:styleId="ListTable6Colorful-Accent2">
    <w:name w:val="List Table 6 Colorful - Accent 2"/>
    <w:basedOn w:val="Tabellanormale"/>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ED7D31" w:themeColor="accent2" w:sz="4" w:space="0"/>
        </w:tcBorders>
      </w:tcPr>
    </w:tblStylePr>
    <w:tblStylePr w:type="lastRow">
      <w:rPr>
        <w:b/>
        <w:color w:val="F4B184" w:themeColor="accent2" w:themeTint="97" w:themeShade="95"/>
      </w:rPr>
      <w:tblPr/>
      <w:tcPr>
        <w:tcBorders>
          <w:top w:val="single" w:color="ED7D31"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6Colorful-Accent3">
    <w:name w:val="List Table 6 Colorful - Accent 3"/>
    <w:basedOn w:val="Tabellanormale"/>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A5A5A5" w:themeColor="accent3" w:sz="4" w:space="0"/>
        </w:tcBorders>
      </w:tcPr>
    </w:tblStylePr>
    <w:tblStylePr w:type="lastRow">
      <w:rPr>
        <w:b/>
        <w:color w:val="C9C9C9" w:themeColor="accent3" w:themeTint="98" w:themeShade="95"/>
      </w:rPr>
      <w:tblPr/>
      <w:tcPr>
        <w:tcBorders>
          <w:top w:val="single" w:color="A5A5A5"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6Colorful-Accent4">
    <w:name w:val="List Table 6 Colorful - Accent 4"/>
    <w:basedOn w:val="Tabellanormale"/>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C000" w:themeColor="accent4" w:sz="4" w:space="0"/>
        </w:tcBorders>
      </w:tcPr>
    </w:tblStylePr>
    <w:tblStylePr w:type="lastRow">
      <w:rPr>
        <w:b/>
        <w:color w:val="FFD865" w:themeColor="accent4" w:themeTint="9a" w:themeShade="95"/>
      </w:rPr>
      <w:tblPr/>
      <w:tcPr>
        <w:tcBorders>
          <w:top w:val="single" w:color="FFC000"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6Colorful-Accent5">
    <w:name w:val="List Table 6 Colorful - Accent 5"/>
    <w:basedOn w:val="Tabellanormale"/>
    <w:uiPriority w:val="99"/>
    <w:tblPr>
      <w:tblStyleRowBandSize w:val="1"/>
      <w:tblStyleColBandSize w:val="1"/>
      <w:tblBorders>
        <w:top w:val="single" w:color="9BC2E5" w:themeColor="accent5" w:themeTint="9a" w:sz="4" w:space="0"/>
        <w:bottom w:val="single" w:color="9BC2E5" w:themeColor="accent5" w:themeTint="9a" w:sz="4" w:space="0"/>
      </w:tblBorders>
    </w:tblPr>
    <w:tblStylePr w:type="firstRow">
      <w:rPr>
        <w:b/>
        <w:color w:val="9BC2E5" w:themeColor="accent5" w:themeTint="9a" w:themeShade="95"/>
      </w:rPr>
      <w:tblPr/>
      <w:tcPr>
        <w:tcBorders>
          <w:bottom w:val="single" w:color="5B9BD5" w:themeColor="accent5" w:sz="4" w:space="0"/>
        </w:tcBorders>
      </w:tcPr>
    </w:tblStylePr>
    <w:tblStylePr w:type="lastRow">
      <w:rPr>
        <w:b/>
        <w:color w:val="9BC2E5" w:themeColor="accent5" w:themeTint="9a" w:themeShade="95"/>
      </w:rPr>
      <w:tblPr/>
      <w:tcPr>
        <w:tcBorders>
          <w:top w:val="single" w:color="5B9BD5" w:themeColor="accent5" w:sz="4" w:space="0"/>
        </w:tcBorders>
      </w:tcPr>
    </w:tblStylePr>
    <w:tblStylePr w:type="firstCol">
      <w:rPr>
        <w:b/>
        <w:color w:val="9BC2E5" w:themeColor="accent5" w:themeTint="9a" w:themeShade="95"/>
      </w:rPr>
      <w:tblPr/>
    </w:tblStylePr>
    <w:tblStylePr w:type="lastCol">
      <w:rPr>
        <w:b/>
        <w:color w:val="9BC2E5" w:themeColor="accent5" w:themeTint="9a" w:themeShade="95"/>
      </w:rPr>
      <w:tbl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Pr/>
    </w:tblStylePr>
  </w:style>
  <w:style w:type="table" w:customStyle="1" w:styleId="ListTable6Colorful-Accent6">
    <w:name w:val="List Table 6 Colorful - Accent 6"/>
    <w:basedOn w:val="Tabellanormale"/>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70AD47" w:themeColor="accent6" w:sz="4" w:space="0"/>
        </w:tcBorders>
      </w:tcPr>
    </w:tblStylePr>
    <w:tblStylePr w:type="lastRow">
      <w:rPr>
        <w:b/>
        <w:color w:val="A9D08E" w:themeColor="accent6" w:themeTint="98" w:themeShade="95"/>
      </w:rPr>
      <w:tblPr/>
      <w:tcPr>
        <w:tcBorders>
          <w:top w:val="single" w:color="70AD47"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styleId="Tabellaelenco7acolori">
    <w:name w:val="List Table 7 Colorful"/>
    <w:basedOn w:val="Tabellanormale"/>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Tabellanormale"/>
    <w:uiPriority w:val="99"/>
    <w:tblPr>
      <w:tblStyleRowBandSize w:val="1"/>
      <w:tblStyleColBandSize w:val="1"/>
      <w:tblBorders>
        <w:right w:val="single" w:color="4472C4" w:themeColor="accent1" w:sz="4" w:space="0"/>
      </w:tblBorders>
    </w:tblPr>
    <w:tblStylePr w:type="firstRow">
      <w:rPr>
        <w:i/>
        <w:color w:val="254175" w:themeColor="accent1" w:themeShade="95"/>
        <w:sz w:val="22"/>
      </w:rPr>
      <w:tblPr/>
      <w:tcPr>
        <w:tcBorders>
          <w:top w:val="none" w:color="auto" w:sz="0" w:space="0"/>
          <w:left w:val="none" w:color="auto" w:sz="0" w:space="0"/>
          <w:bottom w:val="single" w:color="4472C4" w:themeColor="accent1" w:sz="4" w:space="0"/>
          <w:right w:val="none" w:color="auto" w:sz="0" w:space="0"/>
        </w:tcBorders>
        <w:shd w:val="clear" w:color="FFFFFF" w:fill="FFFFFF" w:themeFill="light1"/>
      </w:tcPr>
    </w:tblStylePr>
    <w:tblStylePr w:type="lastRow">
      <w:rPr>
        <w:i/>
        <w:color w:val="254175" w:themeColor="accent1" w:themeShade="95"/>
        <w:sz w:val="22"/>
      </w:rPr>
      <w:tblPr/>
      <w:tcPr>
        <w:tcBorders>
          <w:top w:val="single" w:color="4472C4"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54175" w:themeColor="accent1" w:themeShade="95"/>
        <w:sz w:val="22"/>
      </w:rPr>
      <w:tblPr/>
      <w:tcPr>
        <w:tcBorders>
          <w:top w:val="none" w:color="auto" w:sz="0" w:space="0"/>
          <w:left w:val="none" w:color="auto" w:sz="0" w:space="0"/>
          <w:bottom w:val="none" w:color="auto" w:sz="0" w:space="0"/>
          <w:right w:val="single" w:color="4472C4" w:themeColor="accent1" w:sz="4" w:space="0"/>
        </w:tcBorders>
        <w:shd w:val="clear" w:color="FFFFFF" w:fill="auto"/>
      </w:tcPr>
    </w:tblStylePr>
    <w:tblStylePr w:type="lastCol">
      <w:rPr>
        <w:i/>
        <w:color w:val="254175" w:themeColor="accent1" w:themeShade="95"/>
        <w:sz w:val="22"/>
      </w:rPr>
      <w:tblPr/>
      <w:tcPr>
        <w:tcBorders>
          <w:top w:val="none" w:color="auto" w:sz="0" w:space="0"/>
          <w:left w:val="single" w:color="4472C4" w:themeColor="accent1" w:sz="4" w:space="0"/>
          <w:bottom w:val="none" w:color="auto" w:sz="0" w:space="0"/>
          <w:right w:val="none" w:color="auto" w:sz="0" w:space="0"/>
        </w:tcBorders>
        <w:shd w:val="clear" w:color="FFFFFF" w:fill="auto"/>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Pr/>
    </w:tblStylePr>
  </w:style>
  <w:style w:type="table" w:customStyle="1" w:styleId="ListTable7Colorful-Accent2">
    <w:name w:val="List Table 7 Colorful - Accent 2"/>
    <w:basedOn w:val="Tabellanormale"/>
    <w:uiPriority w:val="99"/>
    <w:tblPr>
      <w:tblStyleRowBandSize w:val="1"/>
      <w:tblStyleColBandSize w:val="1"/>
      <w:tblBorders>
        <w:right w:val="single" w:color="F4B184" w:themeColor="accent2" w:themeTint="97" w:sz="4" w:space="0"/>
      </w:tblBorders>
    </w:tblPr>
    <w:tblStylePr w:type="firstRow">
      <w:rPr>
        <w:i/>
        <w:color w:val="F4B184" w:themeColor="accent2" w:themeTint="97" w:themeShade="95"/>
        <w:sz w:val="22"/>
      </w:rPr>
      <w:tblPr/>
      <w:tcPr>
        <w:tcBorders>
          <w:top w:val="none" w:color="auto" w:sz="0" w:space="0"/>
          <w:left w:val="none" w:color="auto" w:sz="0" w:space="0"/>
          <w:bottom w:val="single" w:color="ED7D31" w:themeColor="accent2" w:sz="4" w:space="0"/>
          <w:right w:val="none" w:color="auto" w:sz="0" w:space="0"/>
        </w:tcBorders>
        <w:shd w:val="clear" w:color="FFFFFF" w:fill="FFFFFF" w:themeFill="light1"/>
      </w:tcPr>
    </w:tblStylePr>
    <w:tblStylePr w:type="lastRow">
      <w:rPr>
        <w:i/>
        <w:color w:val="F4B184" w:themeColor="accent2" w:themeTint="97" w:themeShade="95"/>
        <w:sz w:val="22"/>
      </w:rPr>
      <w:tblPr/>
      <w:tcPr>
        <w:tcBorders>
          <w:top w:val="single" w:color="ED7D31"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ED7D31"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ED7D31" w:themeColor="accent2" w:sz="4" w:space="0"/>
          <w:bottom w:val="none" w:color="auto" w:sz="0" w:space="0"/>
          <w:right w:val="none" w:color="auto" w:sz="0" w:space="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7Colorful-Accent3">
    <w:name w:val="List Table 7 Colorful - Accent 3"/>
    <w:basedOn w:val="Tabellanormale"/>
    <w:uiPriority w:val="99"/>
    <w:tblPr>
      <w:tblStyleRowBandSize w:val="1"/>
      <w:tblStyleColBandSize w:val="1"/>
      <w:tblBorders>
        <w:right w:val="single" w:color="C9C9C9" w:themeColor="accent3" w:themeTint="98" w:sz="4" w:space="0"/>
      </w:tblBorders>
    </w:tblPr>
    <w:tblStylePr w:type="firstRow">
      <w:rPr>
        <w:i/>
        <w:color w:val="C9C9C9" w:themeColor="accent3" w:themeTint="98"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i/>
        <w:color w:val="C9C9C9" w:themeColor="accent3" w:themeTint="98"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9C9C9" w:themeColor="accent3" w:themeTint="98"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C9C9C9" w:themeColor="accent3" w:themeTint="98"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7Colorful-Accent4">
    <w:name w:val="List Table 7 Colorful - Accent 4"/>
    <w:basedOn w:val="Tabellanormale"/>
    <w:uiPriority w:val="99"/>
    <w:tblPr>
      <w:tblStyleRowBandSize w:val="1"/>
      <w:tblStyleColBandSize w:val="1"/>
      <w:tblBorders>
        <w:right w:val="single" w:color="FFD865" w:themeColor="accent4" w:themeTint="9a" w:sz="4" w:space="0"/>
      </w:tblBorders>
    </w:tblPr>
    <w:tblStylePr w:type="firstRow">
      <w:rPr>
        <w:i/>
        <w:color w:val="FFD865" w:themeColor="accent4" w:themeTint="9a" w:themeShade="95"/>
        <w:sz w:val="22"/>
      </w:rPr>
      <w:tblPr/>
      <w:tcPr>
        <w:tcBorders>
          <w:top w:val="none" w:color="auto" w:sz="0" w:space="0"/>
          <w:left w:val="none" w:color="auto" w:sz="0" w:space="0"/>
          <w:bottom w:val="single" w:color="FFC000" w:themeColor="accent4" w:sz="4" w:space="0"/>
          <w:right w:val="none" w:color="auto" w:sz="0" w:space="0"/>
        </w:tcBorders>
        <w:shd w:val="clear" w:color="FFFFFF" w:fill="FFFFFF" w:themeFill="light1"/>
      </w:tcPr>
    </w:tblStylePr>
    <w:tblStylePr w:type="lastRow">
      <w:rPr>
        <w:i/>
        <w:color w:val="FFD865" w:themeColor="accent4" w:themeTint="9a" w:themeShade="95"/>
        <w:sz w:val="22"/>
      </w:rPr>
      <w:tblPr/>
      <w:tcPr>
        <w:tcBorders>
          <w:top w:val="single" w:color="FFC000"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C000"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C000" w:themeColor="accent4" w:sz="4" w:space="0"/>
          <w:bottom w:val="none" w:color="auto" w:sz="0" w:space="0"/>
          <w:right w:val="none" w:color="auto" w:sz="0" w:space="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7Colorful-Accent5">
    <w:name w:val="List Table 7 Colorful - Accent 5"/>
    <w:basedOn w:val="Tabellanormale"/>
    <w:uiPriority w:val="99"/>
    <w:tblPr>
      <w:tblStyleRowBandSize w:val="1"/>
      <w:tblStyleColBandSize w:val="1"/>
      <w:tblBorders>
        <w:right w:val="single" w:color="9BC2E5" w:themeColor="accent5" w:themeTint="9a" w:sz="4" w:space="0"/>
      </w:tblBorders>
    </w:tblPr>
    <w:tblStylePr w:type="firstRow">
      <w:rPr>
        <w:i/>
        <w:color w:val="9BC2E5" w:themeColor="accent5" w:themeTint="9a" w:themeShade="95"/>
        <w:sz w:val="22"/>
      </w:rPr>
      <w:tblPr/>
      <w:tcPr>
        <w:tcBorders>
          <w:top w:val="none" w:color="auto" w:sz="0" w:space="0"/>
          <w:left w:val="none" w:color="auto" w:sz="0" w:space="0"/>
          <w:bottom w:val="single" w:color="5B9BD5" w:themeColor="accent5" w:sz="4" w:space="0"/>
          <w:right w:val="none" w:color="auto" w:sz="0" w:space="0"/>
        </w:tcBorders>
        <w:shd w:val="clear" w:color="FFFFFF" w:fill="FFFFFF" w:themeFill="light1"/>
      </w:tcPr>
    </w:tblStylePr>
    <w:tblStylePr w:type="lastRow">
      <w:rPr>
        <w:i/>
        <w:color w:val="9BC2E5" w:themeColor="accent5" w:themeTint="9a" w:themeShade="95"/>
        <w:sz w:val="22"/>
      </w:rPr>
      <w:tblPr/>
      <w:tcPr>
        <w:tcBorders>
          <w:top w:val="single" w:color="5B9BD5"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BC2E5" w:themeColor="accent5" w:themeTint="9a" w:themeShade="95"/>
        <w:sz w:val="22"/>
      </w:rPr>
      <w:tblPr/>
      <w:tcPr>
        <w:tcBorders>
          <w:top w:val="none" w:color="auto" w:sz="0" w:space="0"/>
          <w:left w:val="none" w:color="auto" w:sz="0" w:space="0"/>
          <w:bottom w:val="none" w:color="auto" w:sz="0" w:space="0"/>
          <w:right w:val="single" w:color="5B9BD5" w:themeColor="accent5" w:sz="4" w:space="0"/>
        </w:tcBorders>
        <w:shd w:val="clear" w:color="FFFFFF" w:fill="auto"/>
      </w:tcPr>
    </w:tblStylePr>
    <w:tblStylePr w:type="lastCol">
      <w:rPr>
        <w:i/>
        <w:color w:val="9BC2E5" w:themeColor="accent5" w:themeTint="9a" w:themeShade="95"/>
        <w:sz w:val="22"/>
      </w:rPr>
      <w:tblPr/>
      <w:tcPr>
        <w:tcBorders>
          <w:top w:val="none" w:color="auto" w:sz="0" w:space="0"/>
          <w:left w:val="single" w:color="5B9BD5" w:themeColor="accent5" w:sz="4" w:space="0"/>
          <w:bottom w:val="none" w:color="auto" w:sz="0" w:space="0"/>
          <w:right w:val="none" w:color="auto" w:sz="0" w:space="0"/>
        </w:tcBorders>
        <w:shd w:val="clear" w:color="FFFFFF" w:fill="auto"/>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Pr/>
    </w:tblStylePr>
  </w:style>
  <w:style w:type="table" w:customStyle="1" w:styleId="ListTable7Colorful-Accent6">
    <w:name w:val="List Table 7 Colorful - Accent 6"/>
    <w:basedOn w:val="Tabellanormale"/>
    <w:uiPriority w:val="99"/>
    <w:tblPr>
      <w:tblStyleRowBandSize w:val="1"/>
      <w:tblStyleColBandSize w:val="1"/>
      <w:tblBorders>
        <w:right w:val="single" w:color="A9D08E" w:themeColor="accent6" w:themeTint="98" w:sz="4" w:space="0"/>
      </w:tblBorders>
    </w:tblPr>
    <w:tblStylePr w:type="firstRow">
      <w:rPr>
        <w:i/>
        <w:color w:val="A9D08E" w:themeColor="accent6" w:themeTint="98" w:themeShade="95"/>
        <w:sz w:val="22"/>
      </w:rPr>
      <w:tblPr/>
      <w:tcPr>
        <w:tcBorders>
          <w:top w:val="none" w:color="auto" w:sz="0" w:space="0"/>
          <w:left w:val="none" w:color="auto" w:sz="0" w:space="0"/>
          <w:bottom w:val="single" w:color="70AD47" w:themeColor="accent6" w:sz="4" w:space="0"/>
          <w:right w:val="none" w:color="auto" w:sz="0" w:space="0"/>
        </w:tcBorders>
        <w:shd w:val="clear" w:color="FFFFFF" w:fill="FFFFFF" w:themeFill="light1"/>
      </w:tcPr>
    </w:tblStylePr>
    <w:tblStylePr w:type="lastRow">
      <w:rPr>
        <w:i/>
        <w:color w:val="A9D08E" w:themeColor="accent6" w:themeTint="98" w:themeShade="95"/>
        <w:sz w:val="22"/>
      </w:rPr>
      <w:tblPr/>
      <w:tcPr>
        <w:tcBorders>
          <w:top w:val="single" w:color="70AD47"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9D08E" w:themeColor="accent6" w:themeTint="98" w:themeShade="95"/>
        <w:sz w:val="22"/>
      </w:rPr>
      <w:tblPr/>
      <w:tcPr>
        <w:tcBorders>
          <w:top w:val="none" w:color="auto" w:sz="0" w:space="0"/>
          <w:left w:val="none" w:color="auto" w:sz="0" w:space="0"/>
          <w:bottom w:val="none" w:color="auto" w:sz="0" w:space="0"/>
          <w:right w:val="single" w:color="70AD47" w:themeColor="accent6" w:sz="4" w:space="0"/>
        </w:tcBorders>
        <w:shd w:val="clear" w:color="FFFFFF" w:fill="auto"/>
      </w:tcPr>
    </w:tblStylePr>
    <w:tblStylePr w:type="lastCol">
      <w:rPr>
        <w:i/>
        <w:color w:val="A9D08E" w:themeColor="accent6" w:themeTint="98" w:themeShade="95"/>
        <w:sz w:val="22"/>
      </w:rPr>
      <w:tblPr/>
      <w:tcPr>
        <w:tcBorders>
          <w:top w:val="none" w:color="auto" w:sz="0" w:space="0"/>
          <w:left w:val="single" w:color="70AD47" w:themeColor="accent6" w:sz="4" w:space="0"/>
          <w:bottom w:val="none" w:color="auto" w:sz="0" w:space="0"/>
          <w:right w:val="none" w:color="auto" w:sz="0" w:space="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Pr/>
    </w:tblStylePr>
    <w:tblStylePr w:type="band2Vert">
      <w:rPr>
        <w:color w:val="404040"/>
        <w:sz w:val="22"/>
      </w:rPr>
      <w:tblPr/>
      <w:tcPr>
        <w:shd w:val="clear" w:color="C4D2EC" w:fill="C4D2EC" w:themeFill="accent1" w:themeFillTint="50"/>
      </w:tcPr>
    </w:tblStylePr>
    <w:tblStylePr w:type="band1Horz">
      <w:rPr>
        <w:color w:val="404040"/>
        <w:sz w:val="22"/>
      </w:rPr>
      <w:tblPr/>
    </w:tblStylePr>
    <w:tblStylePr w:type="band2Horz">
      <w:rPr>
        <w:color w:val="404040"/>
        <w:sz w:val="22"/>
      </w:rPr>
      <w:tblPr/>
      <w:tcPr>
        <w:shd w:val="clear" w:color="C4D2EC" w:fill="C4D2EC" w:themeFill="accent1" w:themeFillTint="50"/>
      </w:tcPr>
    </w:tblStylePr>
  </w:style>
  <w:style w:type="table" w:customStyle="1" w:styleId="Lined-Accent2">
    <w:name w:val="Lined - Accent 2"/>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Pr/>
    </w:tblStylePr>
    <w:tblStylePr w:type="band2Vert">
      <w:rPr>
        <w:color w:val="404040"/>
        <w:sz w:val="22"/>
      </w:rPr>
      <w:tblPr/>
      <w:tcPr>
        <w:shd w:val="clear" w:color="DDEAF6" w:fill="DDEAF6" w:themeFill="accent5" w:themeFillTint="34"/>
      </w:tcPr>
    </w:tblStylePr>
    <w:tblStylePr w:type="band1Horz">
      <w:rPr>
        <w:color w:val="404040"/>
        <w:sz w:val="22"/>
      </w:rPr>
      <w:tblPr/>
    </w:tblStylePr>
    <w:tblStylePr w:type="band2Horz">
      <w:rPr>
        <w:color w:val="404040"/>
        <w:sz w:val="22"/>
      </w:rPr>
      <w:tblPr/>
      <w:tcPr>
        <w:shd w:val="clear" w:color="DDEAF6" w:fill="DDEAF6" w:themeFill="accent5" w:themeFillTint="34"/>
      </w:tcPr>
    </w:tblStylePr>
  </w:style>
  <w:style w:type="table" w:customStyle="1" w:styleId="Lined-Accent6">
    <w:name w:val="Lined - Accent 6"/>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Tabellanormale"/>
    <w:uiPriority w:val="99"/>
    <w:rPr>
      <w:lang w:eastAsia="it-IT"/>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Tabellanormale"/>
    <w:uiPriority w:val="99"/>
    <w:rPr>
      <w:lang w:eastAsia="it-IT"/>
      <w:color w:val="404040"/>
      <w:sz w:val="20"/>
      <w:szCs w:val="20"/>
    </w:r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Pr/>
    </w:tblStylePr>
    <w:tblStylePr w:type="band2Vert">
      <w:rPr>
        <w:color w:val="404040"/>
        <w:sz w:val="22"/>
      </w:rPr>
      <w:tblPr/>
      <w:tcPr>
        <w:shd w:val="clear" w:color="C4D2EC" w:fill="C4D2EC" w:themeFill="accent1" w:themeFillTint="50"/>
      </w:tcPr>
    </w:tblStylePr>
    <w:tblStylePr w:type="band1Horz">
      <w:rPr>
        <w:color w:val="404040"/>
        <w:sz w:val="22"/>
      </w:rPr>
      <w:tblPr/>
    </w:tblStylePr>
    <w:tblStylePr w:type="band2Horz">
      <w:rPr>
        <w:color w:val="404040"/>
        <w:sz w:val="22"/>
      </w:rPr>
      <w:tblPr/>
      <w:tcPr>
        <w:shd w:val="clear" w:color="C4D2EC" w:fill="C4D2EC" w:themeFill="accent1" w:themeFillTint="50"/>
      </w:tcPr>
    </w:tblStylePr>
  </w:style>
  <w:style w:type="table" w:customStyle="1" w:styleId="BorderedLined-Accent2">
    <w:name w:val="Bordered &amp; Lined - Accent 2"/>
    <w:basedOn w:val="Tabellanormale"/>
    <w:uiPriority w:val="99"/>
    <w:rPr>
      <w:lang w:eastAsia="it-IT"/>
      <w:color w:val="404040"/>
      <w:sz w:val="20"/>
      <w:szCs w:val="20"/>
    </w:rPr>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Tabellanormale"/>
    <w:uiPriority w:val="99"/>
    <w:rPr>
      <w:lang w:eastAsia="it-IT"/>
      <w:color w:val="404040"/>
      <w:sz w:val="20"/>
      <w:szCs w:val="20"/>
    </w:r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Tabellanormale"/>
    <w:uiPriority w:val="99"/>
    <w:rPr>
      <w:lang w:eastAsia="it-IT"/>
      <w:color w:val="404040"/>
      <w:sz w:val="20"/>
      <w:szCs w:val="20"/>
    </w:r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Tabellanormale"/>
    <w:uiPriority w:val="99"/>
    <w:rPr>
      <w:lang w:eastAsia="it-IT"/>
      <w:color w:val="404040"/>
      <w:sz w:val="20"/>
      <w:szCs w:val="20"/>
    </w:r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Pr/>
    </w:tblStylePr>
    <w:tblStylePr w:type="band2Vert">
      <w:rPr>
        <w:color w:val="404040"/>
        <w:sz w:val="22"/>
      </w:rPr>
      <w:tblPr/>
      <w:tcPr>
        <w:shd w:val="clear" w:color="DDEAF6" w:fill="DDEAF6" w:themeFill="accent5" w:themeFillTint="34"/>
      </w:tcPr>
    </w:tblStylePr>
    <w:tblStylePr w:type="band1Horz">
      <w:rPr>
        <w:color w:val="404040"/>
        <w:sz w:val="22"/>
      </w:rPr>
      <w:tblPr/>
    </w:tblStylePr>
    <w:tblStylePr w:type="band2Horz">
      <w:rPr>
        <w:color w:val="404040"/>
        <w:sz w:val="22"/>
      </w:rPr>
      <w:tblPr/>
      <w:tcPr>
        <w:shd w:val="clear" w:color="DDEAF6" w:fill="DDEAF6" w:themeFill="accent5" w:themeFillTint="34"/>
      </w:tcPr>
    </w:tblStylePr>
  </w:style>
  <w:style w:type="table" w:customStyle="1" w:styleId="BorderedLined-Accent6">
    <w:name w:val="Bordered &amp; Lined - Accent 6"/>
    <w:basedOn w:val="Tabellanormale"/>
    <w:uiPriority w:val="99"/>
    <w:rPr>
      <w:lang w:eastAsia="it-IT"/>
      <w:color w:val="404040"/>
      <w:sz w:val="20"/>
      <w:szCs w:val="20"/>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Tabellanormale"/>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000000" w:themeColor="text1" w:sz="12" w:space="0"/>
        </w:tcBorders>
      </w:tcPr>
    </w:tblStylePr>
    <w:tblStylePr w:type="lastRow">
      <w:rPr>
        <w:color w:val="404040"/>
        <w:sz w:val="22"/>
      </w:rPr>
      <w:tblPr/>
      <w:tcPr>
        <w:tcBorders>
          <w:top w:val="single" w:color="000000" w:themeColor="text1" w:sz="12" w:space="0"/>
        </w:tcBorders>
      </w:tcPr>
    </w:tblStylePr>
    <w:tblStylePr w:type="firstCol">
      <w:rPr>
        <w:color w:val="404040"/>
        <w:sz w:val="22"/>
      </w:rPr>
      <w:tblPr/>
    </w:tblStylePr>
    <w:tblStylePr w:type="lastCol">
      <w:rPr>
        <w:color w:val="404040"/>
        <w:sz w:val="22"/>
      </w:rPr>
      <w:tblPr/>
      <w:tcPr>
        <w:tcBorders>
          <w:left w:val="single" w:color="000000" w:themeColor="text1" w:sz="12" w:space="0"/>
        </w:tcBorders>
      </w:tc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basedOn w:val="Tabellanormale"/>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color w:val="404040"/>
        <w:sz w:val="22"/>
      </w:rPr>
      <w:tblPr/>
      <w:tcPr>
        <w:tcBorders>
          <w:bottom w:val="single" w:color="4472C4" w:themeColor="accent1" w:sz="12" w:space="0"/>
        </w:tcBorders>
      </w:tcPr>
    </w:tblStylePr>
    <w:tblStylePr w:type="lastRow">
      <w:rPr>
        <w:color w:val="404040"/>
        <w:sz w:val="22"/>
      </w:rPr>
      <w:tblPr/>
      <w:tcPr>
        <w:tcBorders>
          <w:top w:val="single" w:color="4472C4" w:themeColor="accent1" w:sz="12" w:space="0"/>
        </w:tcBorders>
      </w:tcPr>
    </w:tblStylePr>
    <w:tblStylePr w:type="firstCol">
      <w:rPr>
        <w:color w:val="404040"/>
        <w:sz w:val="22"/>
      </w:rPr>
      <w:tblPr/>
    </w:tblStylePr>
    <w:tblStylePr w:type="lastCol">
      <w:rPr>
        <w:color w:val="404040"/>
        <w:sz w:val="22"/>
      </w:rPr>
      <w:tblPr/>
      <w:tcPr>
        <w:tcBorders>
          <w:left w:val="single" w:color="4472C4" w:themeColor="accent1" w:sz="12" w:space="0"/>
        </w:tcBorders>
      </w:tcPr>
    </w:tblStylePr>
    <w:tblStylePr w:type="band1Horz">
      <w:rPr>
        <w:color w:val="404040"/>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style>
  <w:style w:type="table" w:customStyle="1" w:styleId="Bordered-Accent2">
    <w:name w:val="Bordered - Accent 2"/>
    <w:basedOn w:val="Tabellanormale"/>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color w:val="404040"/>
        <w:sz w:val="22"/>
      </w:rPr>
      <w:tblPr/>
      <w:tcPr>
        <w:tcBorders>
          <w:bottom w:val="single" w:color="ED7D31" w:themeColor="accent2" w:sz="12" w:space="0"/>
        </w:tcBorders>
      </w:tcPr>
    </w:tblStylePr>
    <w:tblStylePr w:type="lastRow">
      <w:rPr>
        <w:color w:val="404040"/>
        <w:sz w:val="22"/>
      </w:rPr>
      <w:tblPr/>
      <w:tcPr>
        <w:tcBorders>
          <w:top w:val="single" w:color="ED7D31" w:themeColor="accent2" w:sz="12" w:space="0"/>
        </w:tcBorders>
      </w:tcPr>
    </w:tblStylePr>
    <w:tblStylePr w:type="firstCol">
      <w:rPr>
        <w:color w:val="404040"/>
        <w:sz w:val="22"/>
      </w:rPr>
      <w:tblPr/>
    </w:tblStylePr>
    <w:tblStylePr w:type="lastCol">
      <w:rPr>
        <w:color w:val="404040"/>
        <w:sz w:val="22"/>
      </w:rPr>
      <w:tblPr/>
      <w:tcPr>
        <w:tcBorders>
          <w:left w:val="single" w:color="ED7D31" w:themeColor="accent2" w:sz="12" w:space="0"/>
        </w:tcBorders>
      </w:tcPr>
    </w:tblStylePr>
    <w:tblStylePr w:type="band1Horz">
      <w:rPr>
        <w:color w:val="404040"/>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Bordered-Accent3">
    <w:name w:val="Bordered - Accent 3"/>
    <w:basedOn w:val="Tabellanormale"/>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color w:val="404040"/>
        <w:sz w:val="22"/>
      </w:rPr>
      <w:tblPr/>
      <w:tcPr>
        <w:tcBorders>
          <w:bottom w:val="single" w:color="A5A5A5" w:themeColor="accent3" w:sz="12" w:space="0"/>
        </w:tcBorders>
      </w:tcPr>
    </w:tblStylePr>
    <w:tblStylePr w:type="lastRow">
      <w:rPr>
        <w:color w:val="404040"/>
        <w:sz w:val="22"/>
      </w:rPr>
      <w:tblPr/>
      <w:tcPr>
        <w:tcBorders>
          <w:top w:val="single" w:color="A5A5A5" w:themeColor="accent3" w:sz="12" w:space="0"/>
        </w:tcBorders>
      </w:tcPr>
    </w:tblStylePr>
    <w:tblStylePr w:type="firstCol">
      <w:rPr>
        <w:color w:val="404040"/>
        <w:sz w:val="22"/>
      </w:rPr>
      <w:tblPr/>
    </w:tblStylePr>
    <w:tblStylePr w:type="lastCol">
      <w:rPr>
        <w:color w:val="404040"/>
        <w:sz w:val="22"/>
      </w:rPr>
      <w:tblPr/>
      <w:tcPr>
        <w:tcBorders>
          <w:left w:val="single" w:color="A5A5A5" w:themeColor="accent3" w:sz="12" w:space="0"/>
        </w:tcBorders>
      </w:tcPr>
    </w:tblStylePr>
    <w:tblStylePr w:type="band1Horz">
      <w:rPr>
        <w:color w:val="404040"/>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Bordered-Accent4">
    <w:name w:val="Bordered - Accent 4"/>
    <w:basedOn w:val="Tabellanormale"/>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color w:val="404040"/>
        <w:sz w:val="22"/>
      </w:rPr>
      <w:tblPr/>
      <w:tcPr>
        <w:tcBorders>
          <w:bottom w:val="single" w:color="FFC000" w:themeColor="accent4" w:sz="12" w:space="0"/>
        </w:tcBorders>
      </w:tcPr>
    </w:tblStylePr>
    <w:tblStylePr w:type="lastRow">
      <w:rPr>
        <w:color w:val="404040"/>
        <w:sz w:val="22"/>
      </w:rPr>
      <w:tblPr/>
      <w:tcPr>
        <w:tcBorders>
          <w:top w:val="single" w:color="FFC000" w:themeColor="accent4" w:sz="12" w:space="0"/>
        </w:tcBorders>
      </w:tcPr>
    </w:tblStylePr>
    <w:tblStylePr w:type="firstCol">
      <w:rPr>
        <w:color w:val="404040"/>
        <w:sz w:val="22"/>
      </w:rPr>
      <w:tblPr/>
    </w:tblStylePr>
    <w:tblStylePr w:type="lastCol">
      <w:rPr>
        <w:color w:val="404040"/>
        <w:sz w:val="22"/>
      </w:rPr>
      <w:tblPr/>
      <w:tcPr>
        <w:tcBorders>
          <w:left w:val="single" w:color="FFC000" w:themeColor="accent4" w:sz="12" w:space="0"/>
        </w:tcBorders>
      </w:tcPr>
    </w:tblStylePr>
    <w:tblStylePr w:type="band1Horz">
      <w:rPr>
        <w:color w:val="404040"/>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Bordered-Accent5">
    <w:name w:val="Bordered - Accent 5"/>
    <w:basedOn w:val="Tabellanormale"/>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color w:val="404040"/>
        <w:sz w:val="22"/>
      </w:rPr>
      <w:tblPr/>
      <w:tcPr>
        <w:tcBorders>
          <w:bottom w:val="single" w:color="5B9BD5" w:themeColor="accent5" w:sz="12" w:space="0"/>
        </w:tcBorders>
      </w:tcPr>
    </w:tblStylePr>
    <w:tblStylePr w:type="lastRow">
      <w:rPr>
        <w:color w:val="404040"/>
        <w:sz w:val="22"/>
      </w:rPr>
      <w:tblPr/>
      <w:tcPr>
        <w:tcBorders>
          <w:top w:val="single" w:color="5B9BD5" w:themeColor="accent5" w:sz="12" w:space="0"/>
        </w:tcBorders>
      </w:tcPr>
    </w:tblStylePr>
    <w:tblStylePr w:type="firstCol">
      <w:rPr>
        <w:color w:val="404040"/>
        <w:sz w:val="22"/>
      </w:rPr>
      <w:tblPr/>
    </w:tblStylePr>
    <w:tblStylePr w:type="lastCol">
      <w:rPr>
        <w:color w:val="404040"/>
        <w:sz w:val="22"/>
      </w:rPr>
      <w:tblPr/>
      <w:tcPr>
        <w:tcBorders>
          <w:left w:val="single" w:color="5B9BD5" w:themeColor="accent5" w:sz="12" w:space="0"/>
        </w:tcBorders>
      </w:tcPr>
    </w:tblStylePr>
    <w:tblStylePr w:type="band1Horz">
      <w:rPr>
        <w:color w:val="404040"/>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style>
  <w:style w:type="table" w:customStyle="1" w:styleId="Bordered-Accent6">
    <w:name w:val="Bordered - Accent 6"/>
    <w:basedOn w:val="Tabellanormale"/>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color w:val="404040"/>
        <w:sz w:val="22"/>
      </w:rPr>
      <w:tblPr/>
      <w:tcPr>
        <w:tcBorders>
          <w:bottom w:val="single" w:color="70AD47" w:themeColor="accent6" w:sz="12" w:space="0"/>
        </w:tcBorders>
      </w:tcPr>
    </w:tblStylePr>
    <w:tblStylePr w:type="lastRow">
      <w:rPr>
        <w:color w:val="404040"/>
        <w:sz w:val="22"/>
      </w:rPr>
      <w:tblPr/>
      <w:tcPr>
        <w:tcBorders>
          <w:top w:val="single" w:color="70AD47" w:themeColor="accent6" w:sz="12" w:space="0"/>
        </w:tcBorders>
      </w:tcPr>
    </w:tblStylePr>
    <w:tblStylePr w:type="firstCol">
      <w:rPr>
        <w:color w:val="404040"/>
        <w:sz w:val="22"/>
      </w:rPr>
      <w:tblPr/>
    </w:tblStylePr>
    <w:tblStylePr w:type="lastCol">
      <w:rPr>
        <w:color w:val="404040"/>
        <w:sz w:val="22"/>
      </w:rPr>
      <w:tblPr/>
      <w:tcPr>
        <w:tcBorders>
          <w:left w:val="single" w:color="70AD47" w:themeColor="accent6" w:sz="12" w:space="0"/>
        </w:tcBorders>
      </w:tcPr>
    </w:tblStylePr>
    <w:tblStylePr w:type="band1Horz">
      <w:rPr>
        <w:color w:val="404040"/>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 w:type="table" w:styleId="Grigliatabella">
    <w:name w:val="Table Grid"/>
    <w:basedOn w:val="Tabellanormale"/>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halleysud.it/" TargetMode="External"/><Relationship Id="rId4" Type="http://schemas.openxmlformats.org/officeDocument/2006/relationships/hyperlink" Target="mailto:pnrr@halleysud.it"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6.png"/>
</Relationships>
</file>

<file path=word/_rels/footer2.xml.rels><?xml version="1.0" encoding="UTF-8"?>
<Relationships xmlns="http://schemas.openxmlformats.org/package/2006/relationships"><Relationship Id="rId1" Type="http://schemas.openxmlformats.org/officeDocument/2006/relationships/image" Target="media/image7.png"/>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A7BF3-141A-48D3-B955-832FD952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Application>LibreOffice/7.0.0.3$Windows_X86_64 LibreOffice_project/8061b3e9204bef6b321a21033174034a5e2ea88e</Application>
  <Pages>12</Pages>
  <Words>3233</Words>
  <Characters>19523</Characters>
  <CharactersWithSpaces>22623</CharactersWithSpaces>
  <Paragraphs>209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2022-11-23T14:37:00Z</dcterms:created>
  <dc:creator>OperatorePC25</dc:creator>
  <dc:description/>
  <dc:language>it-IT</dc:language>
  <cp:lastModifiedBy/>
  <dcterms:modified xsi:type="dcterms:W3CDTF">2023-01-27T11:43:51Z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